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0" w:firstLineChars="0"/>
        <w:jc w:val="left"/>
        <w:textAlignment w:val="bottom"/>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ottom"/>
        <w:outlineLvl w:val="9"/>
        <w:rPr>
          <w:rFonts w:hint="eastAsia" w:ascii="宋体" w:hAnsi="宋体" w:eastAsia="方正小标宋简体" w:cs="方正小标宋简体"/>
          <w:b/>
          <w:color w:val="auto"/>
          <w:sz w:val="44"/>
          <w:szCs w:val="44"/>
        </w:rPr>
      </w:pPr>
      <w:bookmarkStart w:id="0" w:name="_GoBack"/>
      <w:r>
        <w:rPr>
          <w:rFonts w:hint="eastAsia" w:ascii="宋体" w:hAnsi="宋体" w:eastAsia="方正小标宋简体" w:cs="方正小标宋简体"/>
          <w:b w:val="0"/>
          <w:bCs/>
          <w:color w:val="auto"/>
          <w:sz w:val="44"/>
          <w:szCs w:val="44"/>
        </w:rPr>
        <w:t>健康促进医院评价标准（2016版）</w:t>
      </w:r>
    </w:p>
    <w:bookmarkEnd w:id="0"/>
    <w:tbl>
      <w:tblPr>
        <w:tblStyle w:val="4"/>
        <w:tblW w:w="12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961"/>
        <w:gridCol w:w="4688"/>
        <w:gridCol w:w="4371"/>
        <w:gridCol w:w="614"/>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117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黑体" w:hAnsi="黑体" w:eastAsia="黑体" w:cs="黑体"/>
                <w:b w:val="0"/>
                <w:bCs w:val="0"/>
                <w:color w:val="auto"/>
                <w:spacing w:val="0"/>
                <w:kern w:val="0"/>
                <w:sz w:val="21"/>
                <w:szCs w:val="21"/>
              </w:rPr>
            </w:pPr>
            <w:r>
              <w:rPr>
                <w:rFonts w:hint="eastAsia" w:ascii="黑体" w:hAnsi="黑体" w:eastAsia="黑体" w:cs="黑体"/>
                <w:b w:val="0"/>
                <w:bCs w:val="0"/>
                <w:color w:val="auto"/>
                <w:spacing w:val="0"/>
                <w:kern w:val="0"/>
                <w:sz w:val="21"/>
                <w:szCs w:val="21"/>
              </w:rPr>
              <w:t>一级指标</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黑体" w:hAnsi="黑体" w:eastAsia="黑体" w:cs="黑体"/>
                <w:b w:val="0"/>
                <w:bCs w:val="0"/>
                <w:color w:val="auto"/>
                <w:spacing w:val="0"/>
                <w:kern w:val="0"/>
                <w:sz w:val="21"/>
                <w:szCs w:val="21"/>
              </w:rPr>
            </w:pPr>
            <w:r>
              <w:rPr>
                <w:rFonts w:hint="eastAsia" w:ascii="黑体" w:hAnsi="黑体" w:eastAsia="黑体" w:cs="黑体"/>
                <w:b w:val="0"/>
                <w:bCs w:val="0"/>
                <w:color w:val="auto"/>
                <w:spacing w:val="0"/>
                <w:kern w:val="0"/>
                <w:sz w:val="21"/>
                <w:szCs w:val="21"/>
              </w:rPr>
              <w:t>二级指标</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黑体" w:hAnsi="黑体" w:eastAsia="黑体" w:cs="黑体"/>
                <w:b w:val="0"/>
                <w:bCs w:val="0"/>
                <w:color w:val="auto"/>
                <w:spacing w:val="0"/>
                <w:kern w:val="0"/>
                <w:sz w:val="21"/>
                <w:szCs w:val="21"/>
              </w:rPr>
            </w:pPr>
            <w:r>
              <w:rPr>
                <w:rFonts w:hint="eastAsia" w:ascii="黑体" w:hAnsi="黑体" w:eastAsia="黑体" w:cs="黑体"/>
                <w:b w:val="0"/>
                <w:bCs w:val="0"/>
                <w:color w:val="auto"/>
                <w:spacing w:val="0"/>
                <w:kern w:val="0"/>
                <w:sz w:val="21"/>
                <w:szCs w:val="21"/>
              </w:rPr>
              <w:t>指标解释</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黑体" w:hAnsi="黑体" w:eastAsia="黑体" w:cs="黑体"/>
                <w:b w:val="0"/>
                <w:bCs w:val="0"/>
                <w:color w:val="auto"/>
                <w:spacing w:val="0"/>
                <w:kern w:val="0"/>
                <w:sz w:val="21"/>
                <w:szCs w:val="21"/>
              </w:rPr>
            </w:pPr>
            <w:r>
              <w:rPr>
                <w:rFonts w:hint="eastAsia" w:ascii="黑体" w:hAnsi="黑体" w:eastAsia="黑体" w:cs="黑体"/>
                <w:b w:val="0"/>
                <w:bCs w:val="0"/>
                <w:color w:val="auto"/>
                <w:spacing w:val="0"/>
                <w:kern w:val="0"/>
                <w:sz w:val="21"/>
                <w:szCs w:val="21"/>
              </w:rPr>
              <w:t>评分标准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黑体" w:hAnsi="黑体" w:eastAsia="黑体" w:cs="黑体"/>
                <w:b w:val="0"/>
                <w:bCs w:val="0"/>
                <w:color w:val="auto"/>
                <w:spacing w:val="0"/>
                <w:kern w:val="0"/>
                <w:sz w:val="21"/>
                <w:szCs w:val="21"/>
              </w:rPr>
            </w:pPr>
            <w:r>
              <w:rPr>
                <w:rFonts w:hint="eastAsia" w:ascii="黑体" w:hAnsi="黑体" w:eastAsia="黑体" w:cs="黑体"/>
                <w:b w:val="0"/>
                <w:bCs w:val="0"/>
                <w:color w:val="auto"/>
                <w:spacing w:val="0"/>
                <w:kern w:val="0"/>
                <w:sz w:val="21"/>
                <w:szCs w:val="21"/>
              </w:rPr>
              <w:t>分值</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黑体" w:hAnsi="黑体" w:eastAsia="黑体" w:cs="黑体"/>
                <w:b w:val="0"/>
                <w:bCs w:val="0"/>
                <w:color w:val="auto"/>
                <w:spacing w:val="0"/>
                <w:kern w:val="0"/>
                <w:sz w:val="21"/>
                <w:szCs w:val="21"/>
              </w:rPr>
            </w:pPr>
            <w:r>
              <w:rPr>
                <w:rFonts w:hint="eastAsia" w:ascii="黑体" w:hAnsi="黑体" w:eastAsia="黑体" w:cs="黑体"/>
                <w:b w:val="0"/>
                <w:bCs w:val="0"/>
                <w:color w:val="auto"/>
                <w:spacing w:val="0"/>
                <w:kern w:val="0"/>
                <w:sz w:val="21"/>
                <w:szCs w:val="21"/>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1500"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sz w:val="24"/>
              </w:rPr>
              <mc:AlternateContent>
                <mc:Choice Requires="wps">
                  <w:drawing>
                    <wp:anchor distT="0" distB="0" distL="114300" distR="114300" simplePos="0" relativeHeight="253389824" behindDoc="0" locked="0" layoutInCell="1" allowOverlap="1">
                      <wp:simplePos x="0" y="0"/>
                      <wp:positionH relativeFrom="column">
                        <wp:posOffset>-589280</wp:posOffset>
                      </wp:positionH>
                      <wp:positionV relativeFrom="paragraph">
                        <wp:posOffset>3463290</wp:posOffset>
                      </wp:positionV>
                      <wp:extent cx="436880" cy="8255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36880" cy="825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33</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pt;margin-top:272.7pt;height:65pt;width:34.4pt;z-index:253389824;mso-width-relative:page;mso-height-relative:page;" filled="f" stroked="f" coordsize="21600,21600" o:gfxdata="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SGwk2gAAAAsBAAAPAAAAAAAAAAEAIAAAACIAAABkcnMvZG93bnJldi54bWxQSwECFAAUAAAACACH&#10;TuJAo+K8FyICAAAbBAAADgAAAAAAAAABACAAAAApAQAAZHJzL2Uyb0RvYy54bWxQSwUGAAAAAAYA&#10;BgBZAQAAvQU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33</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color w:val="auto"/>
                <w:spacing w:val="0"/>
                <w:kern w:val="0"/>
                <w:sz w:val="21"/>
                <w:szCs w:val="21"/>
              </w:rPr>
              <w:t>一、组织管理</w:t>
            </w:r>
            <w:r>
              <w:rPr>
                <w:rFonts w:hint="eastAsia" w:ascii="宋体" w:hAnsi="宋体" w:eastAsia="仿宋_GB2312" w:cs="仿宋_GB2312"/>
                <w:b w:val="0"/>
                <w:bCs w:val="0"/>
                <w:color w:val="auto"/>
                <w:spacing w:val="0"/>
                <w:kern w:val="0"/>
                <w:sz w:val="21"/>
                <w:szCs w:val="21"/>
              </w:rPr>
              <w:br w:type="textWrapping"/>
            </w:r>
            <w:r>
              <w:rPr>
                <w:rFonts w:hint="eastAsia" w:ascii="宋体" w:hAnsi="宋体" w:eastAsia="仿宋_GB2312" w:cs="仿宋_GB2312"/>
                <w:b w:val="0"/>
                <w:bCs w:val="0"/>
                <w:color w:val="auto"/>
                <w:spacing w:val="0"/>
                <w:kern w:val="0"/>
                <w:sz w:val="21"/>
                <w:szCs w:val="21"/>
              </w:rPr>
              <w:t>（20分）</w:t>
            </w: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协调机制</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成立医院主要负责同志牵头的健康促进医院领导小组，职责分工明确。</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成立院长或分管院长牵头的领导小组，得1分。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查阅档案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听取汇报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每季度召开2次工作例会，推进健康促进医院建设。</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每召开1次工作例会得0.5分，最高1分。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制度建设</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将建设健康促进医院纳入医院目标责任考核、医院发展规划、服务宗旨。</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每纳入一个重点文件得0.5分，最高1分。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将控烟工作纳入医院目标责任考核和发展规划，有控烟巡查制度、考评奖惩制度、劝阻制度。</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每做到一项得0.25分，最高1分。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明确健康促进工作牵头负责部门，明确各个科室职责。</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有文件支持，得1分。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将针对患者及社区居民开展健康教育工作纳入医护人员绩效考核。</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有文件支持，得1分。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制定全体员工定期接受健康教育与健康促进继续教育或专题培训制度。</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有文件支持，得1分。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全体员工定期体检，接受健康管理。</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有文件支持，得1分。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组织实施</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有固定的科室和人员负责全院健康促进与健康教育工作的组织管理和技术指导。</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有健康促进主管科室，得1分。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有健康促进专职人员，得1分。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2</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每个临床和医技科室有人专/兼职负责本科室的健康教育工作。设有控烟监督和巡查员。</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lang w:eastAsia="zh-CN"/>
              </w:rPr>
              <w:t>有</w:t>
            </w:r>
            <w:r>
              <w:rPr>
                <w:rFonts w:hint="eastAsia" w:ascii="宋体" w:hAnsi="宋体" w:eastAsia="仿宋_GB2312" w:cs="仿宋_GB2312"/>
                <w:b w:val="0"/>
                <w:bCs w:val="0"/>
                <w:color w:val="auto"/>
                <w:spacing w:val="0"/>
                <w:kern w:val="0"/>
                <w:sz w:val="21"/>
                <w:szCs w:val="21"/>
              </w:rPr>
              <w:t>各科室健康教育人员名单，得0.5分。有控烟监督和巡查员，得0.5分。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每年制定健康促进医院工作年度计划。包括医院健康促进资源和健康问题评估、工作目标、任务分工、时间进度等。</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有年度工作计划，得1分。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年度计划有重点工作领域、内容具体、分工到人、有时间进度表符合要求，每项做到得0.5分，最高1分。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2</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定期开展员工健康促进医院建设培训，开展控烟培训。</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每开展一次专题培训得0.5分，最高2分。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2</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每年全面总结健康促进医院工作，总结经验和问题，接受上级部门的考核评估。</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有总结报告得1分。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总结报告内容具体，经验亮点突出，下一步工作思路清晰，最高1分。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2</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200"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sz w:val="24"/>
              </w:rPr>
              <mc:AlternateContent>
                <mc:Choice Requires="wps">
                  <w:drawing>
                    <wp:anchor distT="0" distB="0" distL="114300" distR="114300" simplePos="0" relativeHeight="254256128" behindDoc="0" locked="0" layoutInCell="1" allowOverlap="1">
                      <wp:simplePos x="0" y="0"/>
                      <wp:positionH relativeFrom="column">
                        <wp:posOffset>-1320800</wp:posOffset>
                      </wp:positionH>
                      <wp:positionV relativeFrom="paragraph">
                        <wp:posOffset>-1167765</wp:posOffset>
                      </wp:positionV>
                      <wp:extent cx="436880" cy="8255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436880" cy="825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34</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pt;margin-top:-91.95pt;height:65pt;width:34.4pt;z-index:254256128;mso-width-relative:page;mso-height-relative:page;" filled="f" stroked="f" coordsize="21600,21600" o:gfxdata="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aS9kTcAAAADgEAAA8AAAAAAAAAAQAgAAAAIgAAAGRycy9kb3ducmV2LnhtbFBLAQIUABQAAAAI&#10;AIdO4kAxetQjIgIAABsEAAAOAAAAAAAAAAEAIAAAACsBAABkcnMvZTJvRG9jLnhtbFBLBQYAAAAA&#10;BgAGAFkBAAC/BQ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34</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color w:val="auto"/>
                <w:spacing w:val="0"/>
                <w:kern w:val="0"/>
                <w:sz w:val="21"/>
                <w:szCs w:val="21"/>
              </w:rPr>
              <w:t>保障措施</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有健康促进与健康教育必备的场所、宣传阵地和设备。</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有专门健康教育教室得1分。有宣传栏等健康教育阵地得0.5分。有专用设备得0.5分。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2</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保证健康促进与健康教育专项工作经费。</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医院设健康教育专项经费得0.5分，如超过10万再得0.5分。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二、健康环境（8分）</w:t>
            </w: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诊疗环境</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医院设咨询台，设置导医标识，方便患者就诊。候诊区提供与就诊人数相匹配的候诊座椅，为患者提供安全、私密的就诊环境。</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有咨询台得0.5分，导医标识明显清晰，得0.5分，候诊区座椅够用，得0.5分，健康检查时保护患者隐私，得0.5分。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2</w:t>
            </w:r>
          </w:p>
        </w:tc>
        <w:tc>
          <w:tcPr>
            <w:tcW w:w="94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查阅档案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听取汇报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现场查看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医院整体环境卫生，生活垃圾和医疗废物分类收集，处置及时。厕所卫生，有洗手设施。</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医疗废物与生活垃圾分类处置得1分。随机进入一个厕所，干净有洗手设施得1分。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2</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辐射安全、医疗废弃物等标识清晰、明显。</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有明显的辐射安全标识，得0.5分。有明显的医疗废弃物标识，得0.5分。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人文环境</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医务人员对待患者和蔼和亲，使用文明礼貌用语。</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随机进入诊室，医务人员态度和蔼、使用文明用语，得1分。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考虑残疾人、老年人、孕产妇等特殊人群的需求，如绿色通道、优先窗口等。</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符合要求，得1分。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根据需要提供安全的食品和饮用水。</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符合要求，得1分。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三、无烟医院</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（12分）</w:t>
            </w: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无烟环境</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医院室内完全禁止吸烟，所有室内场所没有烟头，没有吸烟者。</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发现烟头扣1分，发现吸烟者扣1分。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2</w:t>
            </w:r>
          </w:p>
        </w:tc>
        <w:tc>
          <w:tcPr>
            <w:tcW w:w="94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查阅档案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听取汇报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现场查看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医院所属区域有明显的禁烟标识。所有建筑物入口处、候诊区、会议室、厕所、走廊、电梯、楼梯等公共区域有明显的禁烟标识。</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每个缺乏无烟标识的公共区域扣0.5分，扣完为止。</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2</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院内不销售烟草制品。</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如发现，扣1分。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院内无烟草广告、促销和赞助。</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如发现，扣1分。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无烟宣传</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有控烟宣传材料。</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有一类控烟传播材料得0.25分，最高1分。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开展以控烟为主题的宣传活动，如讲座、咨询等。</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开展一次控烟主题的宣传活动得0.5分，最高1分。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戒烟服务</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在相应科室设戒烟服务医生和咨询电话，开展戒烟服务和咨询。</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有科室提供戒烟服务，得1分。有专人提供戒烟咨询，得1分。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2</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医生询问门诊、住院患者的吸烟史，对其中的吸烟者进行简短戒烟干预并有记录</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开展门诊患者戒烟干预，得1分。开展住院患者戒烟干预，得1分。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2</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800"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sz w:val="24"/>
              </w:rPr>
              <mc:AlternateContent>
                <mc:Choice Requires="wps">
                  <w:drawing>
                    <wp:anchor distT="0" distB="0" distL="114300" distR="114300" simplePos="0" relativeHeight="255988736" behindDoc="0" locked="0" layoutInCell="1" allowOverlap="1">
                      <wp:simplePos x="0" y="0"/>
                      <wp:positionH relativeFrom="column">
                        <wp:posOffset>-589280</wp:posOffset>
                      </wp:positionH>
                      <wp:positionV relativeFrom="paragraph">
                        <wp:posOffset>2026920</wp:posOffset>
                      </wp:positionV>
                      <wp:extent cx="436880" cy="8255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436880" cy="825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35</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pt;margin-top:159.6pt;height:65pt;width:34.4pt;z-index:255988736;mso-width-relative:page;mso-height-relative:page;" filled="f" stroked="f" coordsize="21600,21600" o:gfxdata="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wO&#10;fp3ZAAAACwEAAA8AAAAAAAAAAQAgAAAAIgAAAGRycy9kb3ducmV2LnhtbFBLAQIUABQAAAAIAIdO&#10;4kCBSzqjIgIAABsEAAAOAAAAAAAAAAEAIAAAACgBAABkcnMvZTJvRG9jLnhtbFBLBQYAAAAABgAG&#10;AFkBAAC8BQ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35</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color w:val="auto"/>
                <w:spacing w:val="0"/>
                <w:kern w:val="0"/>
                <w:sz w:val="21"/>
                <w:szCs w:val="21"/>
              </w:rPr>
              <w:t>四、健康教育（50分）</w:t>
            </w: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患者健康促进</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各科室制定门诊和健康教育工作流程和要点。</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内外妇儿等重点科室制定门诊健康教育流程和要点，每个科室得1分，最高4分。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4</w:t>
            </w:r>
          </w:p>
        </w:tc>
        <w:tc>
          <w:tcPr>
            <w:tcW w:w="94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查阅档案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听取汇报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现场查看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各科室制定住院患者在住院期间和出院后的健康教育工作流程和要点。</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内外妇儿等重点科室制定住院健康教育流程和要点，每个科室得1分，最高4分。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4</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个临床科室开展健康教育服务，有针对不同病种的健康教育档案记录:1.开展患者健康评估。2.为患者提供改进健康、促进疾病康复的个性化建议。3.患者出院时，给予患者或家属合理化的出院健康指导或建议。4.患者出院后，通过与社区合作、随访等方式，持续提供健康建议。</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每个科室有针对某病种或健康问题的全套健康教育工作记录，得1分，每个科室最高3分。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全院最高得15分，可区分门诊和住院科室。</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15</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集中候诊区、治疗区（如输液室）、门诊科室、住院科室合理使用健康传播材料（如摆放健康教育资料，张贴健康海报或健康提示，播放健康视频等）。</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每类诊疗区能合理使用健康传播材料，得1分，最高4分。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4</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设置健康教育宣传栏，县级及以上医院每月更换一次，基层医疗卫生机构每两月更换一次。</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有健康教育宣传栏得1分，定期更换得2分。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3</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300"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sz w:val="24"/>
              </w:rPr>
              <mc:AlternateContent>
                <mc:Choice Requires="wps">
                  <w:drawing>
                    <wp:anchor distT="0" distB="0" distL="114300" distR="114300" simplePos="0" relativeHeight="258587648" behindDoc="0" locked="0" layoutInCell="1" allowOverlap="1">
                      <wp:simplePos x="0" y="0"/>
                      <wp:positionH relativeFrom="column">
                        <wp:posOffset>-1320800</wp:posOffset>
                      </wp:positionH>
                      <wp:positionV relativeFrom="paragraph">
                        <wp:posOffset>-147320</wp:posOffset>
                      </wp:positionV>
                      <wp:extent cx="436880" cy="8255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436880" cy="825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36</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pt;margin-top:-11.6pt;height:65pt;width:34.4pt;z-index:258587648;mso-width-relative:page;mso-height-relative:page;" filled="f" stroked="f" coordsize="21600,21600" o:gfxdata="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fiD69sAAAANAQAADwAAAAAAAAABACAAAAAiAAAAZHJzL2Rvd25yZXYueG1sUEsBAhQAFAAAAAgA&#10;h07iQBAfefkiAgAAGwQAAA4AAAAAAAAAAQAgAAAAKgEAAGRycy9lMm9Eb2MueG1sUEsFBgAAAAAG&#10;AAYAWQEAAL4FA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36</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color w:val="auto"/>
                <w:spacing w:val="0"/>
                <w:kern w:val="0"/>
                <w:sz w:val="21"/>
                <w:szCs w:val="21"/>
              </w:rPr>
              <w:t>社区健康促进</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制定针对社区居民的健康教育工作流程和健康教育要点。</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有针对社区居民的健康教育工作流程，得1分。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有一套常见疾病的健康教育工作要点，得2分。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3</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开展面向社区的健康讲座、健康咨询、义诊、健康烹调大赛、健康训练营、健康生活方式倡导等健康活动。</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每开展一次活动得0.5分，最高4分。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4</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通过广播、电视、报纸、网站和新媒体对公众开展健康教育。</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每开展一次活动得0.5分，最高3分。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3</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职工健康促进</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每年对全体员工进行体检，建立健康档案，开展健康评估。</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每年体检得1分。建立健康档案得1分。为每个员工开展健康评估得2分。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4</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根据员工主要健康问题，开展健康管理，有具体的干预措施。</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发现员工主要健康问题，得1分。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有健康管理计划，得1分。开展健康干预，得1分。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3</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组织促进身心健康的文体活动，丰富员工生活，提高医院凝聚力。</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每开展一次集体健康活动得0.5分，最高3分。</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3</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四、建设效果（10分）</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目标人群评价</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目标人群对健康促进工作支持、理解、满意</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详见目标人群测评方案。</w:t>
            </w: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10</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快速调查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7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合计</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16</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bottom"/>
              <w:outlineLvl w:val="9"/>
              <w:rPr>
                <w:rFonts w:hint="eastAsia" w:ascii="宋体" w:hAnsi="宋体" w:eastAsia="仿宋_GB2312" w:cs="仿宋_GB2312"/>
                <w:b w:val="0"/>
                <w:bCs w:val="0"/>
                <w:color w:val="auto"/>
                <w:spacing w:val="0"/>
                <w:kern w:val="0"/>
                <w:sz w:val="21"/>
                <w:szCs w:val="21"/>
              </w:rPr>
            </w:pPr>
          </w:p>
        </w:tc>
        <w:tc>
          <w:tcPr>
            <w:tcW w:w="6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r>
              <w:rPr>
                <w:rFonts w:hint="eastAsia" w:ascii="宋体" w:hAnsi="宋体" w:eastAsia="仿宋_GB2312" w:cs="仿宋_GB2312"/>
                <w:b w:val="0"/>
                <w:bCs w:val="0"/>
                <w:color w:val="auto"/>
                <w:spacing w:val="0"/>
                <w:kern w:val="0"/>
                <w:sz w:val="21"/>
                <w:szCs w:val="21"/>
              </w:rPr>
              <w:t>100</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宋体" w:hAnsi="宋体" w:eastAsia="仿宋_GB2312" w:cs="仿宋_GB2312"/>
                <w:b w:val="0"/>
                <w:bCs w:val="0"/>
                <w:color w:val="auto"/>
                <w:spacing w:val="0"/>
                <w:kern w:val="0"/>
                <w:sz w:val="21"/>
                <w:szCs w:val="21"/>
              </w:rPr>
            </w:pPr>
          </w:p>
        </w:tc>
      </w:tr>
    </w:tbl>
    <w:p>
      <w:pPr>
        <w:widowControl w:val="0"/>
        <w:wordWrap/>
        <w:adjustRightInd/>
        <w:snapToGrid/>
        <w:spacing w:line="500" w:lineRule="exact"/>
        <w:ind w:left="0" w:leftChars="0" w:right="0" w:firstLine="0" w:firstLineChars="0"/>
        <w:jc w:val="both"/>
        <w:textAlignment w:val="bottom"/>
        <w:outlineLvl w:val="9"/>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说明：</w:t>
      </w:r>
    </w:p>
    <w:p>
      <w:pPr>
        <w:widowControl w:val="0"/>
        <w:wordWrap/>
        <w:adjustRightInd/>
        <w:snapToGrid/>
        <w:spacing w:line="500" w:lineRule="exact"/>
        <w:ind w:left="0" w:leftChars="0" w:right="0" w:firstLine="0" w:firstLineChars="0"/>
        <w:jc w:val="both"/>
        <w:textAlignment w:val="bottom"/>
        <w:outlineLvl w:val="9"/>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1.无烟医院是健康促进医院的前提条件。</w:t>
      </w:r>
    </w:p>
    <w:p>
      <w:pPr>
        <w:widowControl w:val="0"/>
        <w:wordWrap/>
        <w:adjustRightInd/>
        <w:snapToGrid/>
        <w:spacing w:line="500" w:lineRule="exact"/>
        <w:ind w:left="0" w:leftChars="0" w:right="0" w:firstLine="0" w:firstLineChars="0"/>
        <w:jc w:val="both"/>
        <w:textAlignment w:val="bottom"/>
        <w:outlineLvl w:val="9"/>
        <w:rPr>
          <w:rFonts w:hint="eastAsia" w:ascii="宋体" w:hAnsi="宋体" w:eastAsia="仿宋_GB2312"/>
          <w:color w:val="auto"/>
          <w:sz w:val="32"/>
        </w:rPr>
      </w:pPr>
      <w:r>
        <w:rPr>
          <w:rFonts w:hint="eastAsia" w:ascii="宋体" w:hAnsi="宋体" w:eastAsia="仿宋_GB2312" w:cs="仿宋_GB2312"/>
          <w:color w:val="auto"/>
          <w:kern w:val="0"/>
          <w:sz w:val="24"/>
          <w:szCs w:val="24"/>
        </w:rPr>
        <w:t>2.健康促进医院评价标准采取百分制，现场评估达到70分及以上，认为达到健康促进医院标准。</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94A9C"/>
    <w:rsid w:val="1C794A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4"/>
      <w:szCs w:val="24"/>
      <w:lang w:val="en-US" w:eastAsia="en-US"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rFonts w:ascii="Calibri" w:hAnsi="Calibri" w:cs="Times New Roman"/>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2018-04-04T02:53:00Z</dcterms:created>
  <dc:creator>vv</dc:creator>
  <cp:lastModifiedBy>vv</cp:lastModifiedBy>
  <dcterms:modified xsi:type="dcterms:W3CDTF">2018-04-04T02:53:31Z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