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jc w:val="left"/>
        <w:rPr>
          <w:rFonts w:ascii="宋体" w:hAnsi="宋体" w:eastAsia="黑体" w:cs="宋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宋体"/>
          <w:color w:val="000000" w:themeColor="text1"/>
          <w:sz w:val="32"/>
          <w:szCs w:val="32"/>
        </w:rPr>
        <w:t xml:space="preserve">附件1                       </w:t>
      </w:r>
    </w:p>
    <w:p>
      <w:pPr>
        <w:shd w:val="clear" w:color="auto" w:fill="FFFFFF"/>
        <w:spacing w:line="500" w:lineRule="exact"/>
        <w:jc w:val="center"/>
        <w:rPr>
          <w:rFonts w:ascii="方正小标宋简体" w:hAnsi="宋体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 w:themeColor="text1"/>
          <w:sz w:val="36"/>
          <w:szCs w:val="36"/>
        </w:rPr>
        <w:t>济源市集体建设用地级别与基准地价表</w:t>
      </w:r>
    </w:p>
    <w:p>
      <w:pPr>
        <w:shd w:val="clear" w:color="auto" w:fill="FFFFFF"/>
        <w:spacing w:line="360" w:lineRule="exact"/>
        <w:jc w:val="left"/>
        <w:rPr>
          <w:rFonts w:ascii="宋体" w:hAnsi="宋体" w:eastAsia="黑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仿宋_GB2312" w:cs="宋体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单位：元</w:t>
      </w:r>
      <w:r>
        <w:rPr>
          <w:rFonts w:hint="eastAsia" w:ascii="宋体" w:hAnsi="宋体" w:eastAsia="仿宋_GB2312"/>
          <w:bCs/>
          <w:color w:val="000000" w:themeColor="text1"/>
          <w:sz w:val="24"/>
          <w:szCs w:val="24"/>
        </w:rPr>
        <w:t>/</w:t>
      </w:r>
      <w:r>
        <w:rPr>
          <w:rFonts w:hint="eastAsia" w:ascii="宋体" w:hAnsi="宋体" w:eastAsia="仿宋_GB2312" w:cs="宋体"/>
          <w:bCs/>
          <w:color w:val="000000" w:themeColor="text1"/>
          <w:sz w:val="24"/>
          <w:szCs w:val="24"/>
        </w:rPr>
        <w:t>平方米</w:t>
      </w:r>
    </w:p>
    <w:tbl>
      <w:tblPr>
        <w:tblStyle w:val="6"/>
        <w:tblW w:w="143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729"/>
        <w:gridCol w:w="1513"/>
        <w:gridCol w:w="1511"/>
        <w:gridCol w:w="1513"/>
        <w:gridCol w:w="1513"/>
        <w:gridCol w:w="1516"/>
        <w:gridCol w:w="151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8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635</wp:posOffset>
                      </wp:positionV>
                      <wp:extent cx="1143635" cy="1089025"/>
                      <wp:effectExtent l="5715" t="5715" r="12700" b="10160"/>
                      <wp:wrapNone/>
                      <wp:docPr id="1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0305" cy="105727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-3.55pt;margin-top:0.05pt;height:85.75pt;width:90.05pt;z-index:251660288;mso-width-relative:page;mso-height-relative:page;" filled="f" stroked="t" coordsize="21600,21600" o:gfxdata="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EDJE7VAAAABwEAAA8AAAAAAAAAAQAgAAAAIgAAAGRycy9kb3ducmV2LnhtbFBLAQIUABQAAAAI&#10;AIdO4kA7J1p78AEAAPADAAAOAAAAAAAAAAEAIAAAACQBAABkcnMvZTJvRG9jLnhtbFBLBQYAAAAA&#10;BgAGAFkBAACGBQAAAAA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</w:p>
          <w:p>
            <w:pPr>
              <w:jc w:val="center"/>
              <w:rPr>
                <w:rFonts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  <w:t>级别</w:t>
            </w:r>
          </w:p>
          <w:p>
            <w:pPr>
              <w:spacing w:after="240"/>
              <w:jc w:val="center"/>
              <w:rPr>
                <w:rFonts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spacing w:after="240"/>
              <w:rPr>
                <w:rFonts w:ascii="宋体" w:hAnsi="宋体" w:eastAsia="仿宋_GB2312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  <w:t>地类</w:t>
            </w:r>
          </w:p>
        </w:tc>
        <w:tc>
          <w:tcPr>
            <w:tcW w:w="32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4"/>
                <w:szCs w:val="24"/>
              </w:rPr>
              <w:t>商业服务业用地</w:t>
            </w:r>
          </w:p>
        </w:tc>
        <w:tc>
          <w:tcPr>
            <w:tcW w:w="30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4"/>
                <w:szCs w:val="24"/>
              </w:rPr>
              <w:t>农村宅基地</w:t>
            </w:r>
          </w:p>
        </w:tc>
        <w:tc>
          <w:tcPr>
            <w:tcW w:w="30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4"/>
                <w:szCs w:val="24"/>
              </w:rPr>
              <w:t>工业用地</w:t>
            </w:r>
          </w:p>
        </w:tc>
        <w:tc>
          <w:tcPr>
            <w:tcW w:w="3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4"/>
                <w:szCs w:val="24"/>
              </w:rPr>
              <w:t>公共管理与公共</w:t>
            </w:r>
          </w:p>
          <w:p>
            <w:pPr>
              <w:ind w:firstLine="361" w:firstLineChars="150"/>
              <w:jc w:val="center"/>
              <w:rPr>
                <w:rFonts w:ascii="宋体" w:hAnsi="宋体" w:eastAsia="仿宋_GB2312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color w:val="000000" w:themeColor="text1"/>
                <w:sz w:val="24"/>
                <w:szCs w:val="24"/>
              </w:rPr>
              <w:t>服务用地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仿宋_GB2312" w:cs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eastAsia="仿宋_GB2312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sz w:val="24"/>
                <w:szCs w:val="24"/>
              </w:rPr>
              <w:t>城区内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sz w:val="24"/>
                <w:szCs w:val="24"/>
              </w:rPr>
              <w:t>城区外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sz w:val="24"/>
                <w:szCs w:val="24"/>
              </w:rPr>
              <w:t>城区内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sz w:val="24"/>
                <w:szCs w:val="24"/>
              </w:rPr>
              <w:t>城区外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sz w:val="24"/>
                <w:szCs w:val="24"/>
              </w:rPr>
              <w:t>城区内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sz w:val="24"/>
                <w:szCs w:val="24"/>
              </w:rPr>
              <w:t>城区外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sz w:val="24"/>
                <w:szCs w:val="24"/>
              </w:rPr>
              <w:t>城区内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sz w:val="24"/>
                <w:szCs w:val="24"/>
              </w:rPr>
              <w:t>城区外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firstLine="120" w:firstLineChars="50"/>
              <w:jc w:val="left"/>
              <w:rPr>
                <w:rFonts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  <w:t xml:space="preserve">   一级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1710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1210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4"/>
                <w:szCs w:val="24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firstLine="120" w:firstLineChars="50"/>
              <w:jc w:val="left"/>
              <w:rPr>
                <w:rFonts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  <w:t xml:space="preserve">   二级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1230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860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265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4"/>
                <w:szCs w:val="24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firstLine="120" w:firstLineChars="50"/>
              <w:jc w:val="left"/>
              <w:rPr>
                <w:rFonts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  <w:t xml:space="preserve">   三级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870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firstLine="120" w:firstLineChars="50"/>
              <w:jc w:val="left"/>
              <w:rPr>
                <w:rFonts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  <w:t xml:space="preserve">   四级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475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firstLine="120" w:firstLineChars="50"/>
              <w:jc w:val="left"/>
              <w:rPr>
                <w:rFonts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  <w:t xml:space="preserve">   五级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firstLine="120" w:firstLineChars="50"/>
              <w:jc w:val="left"/>
              <w:rPr>
                <w:rFonts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  <w:t xml:space="preserve">   六级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ind w:firstLine="120" w:firstLineChars="50"/>
              <w:jc w:val="left"/>
              <w:rPr>
                <w:rFonts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 w:themeColor="text1"/>
                <w:sz w:val="24"/>
                <w:szCs w:val="24"/>
              </w:rPr>
              <w:t xml:space="preserve">   七级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4"/>
                <w:szCs w:val="24"/>
              </w:rPr>
              <w:t>——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 w:themeColor="text1"/>
                <w:sz w:val="24"/>
                <w:szCs w:val="24"/>
              </w:rPr>
              <w:t>——</w:t>
            </w:r>
          </w:p>
        </w:tc>
      </w:tr>
    </w:tbl>
    <w:p>
      <w:pPr>
        <w:shd w:val="clear" w:color="auto" w:fill="FFFFFF"/>
        <w:spacing w:line="440" w:lineRule="exact"/>
        <w:ind w:firstLine="480" w:firstLineChars="200"/>
        <w:jc w:val="left"/>
        <w:rPr>
          <w:rFonts w:ascii="仿宋_GB2312" w:hAnsi="宋体" w:eastAsia="仿宋_GB2312" w:cs="宋体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</w:rPr>
        <w:t>集体建设用地基准地价内涵说明:①估价期日：2020年1月1日。②土地使用年期：商业服务业用地为40年、工业用地为50年、公共管理与公共服务用地为50年、农村宅基地为无限年期。③容积率：城区内商业服务业用地2.0、工业用地1.0、公共管理与公共服务用地1.5、农村宅基地2.5；城区外商业服务业用地1.0、工业用地0.7、公共管理与公共服务用地1.0、农村宅基地1.0。④开发程度：城区内五通一平，城区外三通一平。</w:t>
      </w:r>
    </w:p>
    <w:p>
      <w:pPr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000000" w:themeColor="text1"/>
          <w:sz w:val="24"/>
          <w:szCs w:val="24"/>
        </w:rPr>
      </w:pPr>
    </w:p>
    <w:p>
      <w:pPr>
        <w:shd w:val="clear" w:color="auto" w:fill="FFFFFF"/>
        <w:spacing w:line="560" w:lineRule="exact"/>
        <w:jc w:val="left"/>
        <w:rPr>
          <w:rFonts w:ascii="仿宋_GB2312" w:hAnsi="宋体" w:eastAsia="仿宋_GB2312" w:cs="宋体"/>
          <w:color w:val="000000" w:themeColor="text1"/>
          <w:sz w:val="24"/>
          <w:szCs w:val="24"/>
        </w:rPr>
      </w:pPr>
    </w:p>
    <w:p>
      <w:pPr>
        <w:shd w:val="clear" w:color="auto" w:fill="FFFFFF"/>
        <w:spacing w:line="400" w:lineRule="exact"/>
        <w:jc w:val="left"/>
        <w:rPr>
          <w:rFonts w:ascii="宋体" w:hAnsi="宋体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宋体" w:hAnsi="宋体" w:eastAsia="黑体" w:cs="宋体"/>
          <w:color w:val="000000" w:themeColor="text1"/>
          <w:sz w:val="32"/>
          <w:szCs w:val="32"/>
        </w:rPr>
        <w:t xml:space="preserve">附件2                            </w:t>
      </w:r>
    </w:p>
    <w:p>
      <w:pPr>
        <w:shd w:val="clear" w:color="auto" w:fill="FFFFFF"/>
        <w:spacing w:line="360" w:lineRule="exact"/>
        <w:jc w:val="center"/>
        <w:rPr>
          <w:rFonts w:ascii="宋体" w:hAnsi="宋体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宋体" w:hAnsi="宋体" w:eastAsia="方正小标宋简体" w:cs="方正小标宋简体"/>
          <w:color w:val="000000" w:themeColor="text1"/>
          <w:sz w:val="36"/>
          <w:szCs w:val="36"/>
        </w:rPr>
        <w:t>济源市农用地级别与基准地价表</w:t>
      </w:r>
    </w:p>
    <w:p>
      <w:pPr>
        <w:shd w:val="clear" w:color="auto" w:fill="FFFFFF"/>
        <w:spacing w:line="360" w:lineRule="exact"/>
        <w:jc w:val="left"/>
        <w:rPr>
          <w:rFonts w:ascii="宋体" w:hAnsi="宋体" w:eastAsia="黑体" w:cs="宋体"/>
          <w:color w:val="000000" w:themeColor="text1"/>
          <w:sz w:val="32"/>
          <w:szCs w:val="32"/>
        </w:rPr>
      </w:pPr>
      <w:r>
        <w:rPr>
          <w:rFonts w:hint="eastAsia" w:ascii="宋体" w:hAnsi="宋体" w:eastAsia="仿宋_GB2312" w:cs="宋体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单位：元</w:t>
      </w:r>
      <w:r>
        <w:rPr>
          <w:rFonts w:hint="eastAsia" w:ascii="宋体" w:hAnsi="宋体" w:eastAsia="仿宋_GB2312"/>
          <w:bCs/>
          <w:color w:val="000000" w:themeColor="text1"/>
          <w:sz w:val="24"/>
          <w:szCs w:val="24"/>
        </w:rPr>
        <w:t>/</w:t>
      </w:r>
      <w:r>
        <w:rPr>
          <w:rFonts w:hint="eastAsia" w:ascii="宋体" w:hAnsi="宋体" w:eastAsia="仿宋_GB2312" w:cs="宋体"/>
          <w:bCs/>
          <w:color w:val="000000" w:themeColor="text1"/>
          <w:sz w:val="24"/>
          <w:szCs w:val="24"/>
        </w:rPr>
        <w:t>平方米</w:t>
      </w:r>
    </w:p>
    <w:tbl>
      <w:tblPr>
        <w:tblStyle w:val="6"/>
        <w:tblW w:w="14146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952"/>
        <w:gridCol w:w="1994"/>
        <w:gridCol w:w="2641"/>
        <w:gridCol w:w="2789"/>
        <w:gridCol w:w="277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39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 xml:space="preserve">              地类</w:t>
            </w:r>
          </w:p>
        </w:tc>
        <w:tc>
          <w:tcPr>
            <w:tcW w:w="1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 xml:space="preserve"> 级别</w:t>
            </w:r>
          </w:p>
        </w:tc>
        <w:tc>
          <w:tcPr>
            <w:tcW w:w="26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国有农用地</w:t>
            </w:r>
          </w:p>
        </w:tc>
        <w:tc>
          <w:tcPr>
            <w:tcW w:w="5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集体农用地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3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26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承包经营权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经营权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耕地</w:t>
            </w: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一级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62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40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30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二级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55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34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25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三级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49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29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21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四级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44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25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18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林地</w:t>
            </w: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一级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48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34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26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二级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42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28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21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三级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37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23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四级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33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20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园地</w:t>
            </w: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一级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82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51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二级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72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44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33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三级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63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38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28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四级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54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33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24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设施农用地</w:t>
            </w: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一级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102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76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59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二级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85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65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三级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71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56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43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" w:hRule="atLeast"/>
        </w:trPr>
        <w:tc>
          <w:tcPr>
            <w:tcW w:w="39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</w:rPr>
              <w:t>四级</w:t>
            </w:r>
          </w:p>
        </w:tc>
        <w:tc>
          <w:tcPr>
            <w:tcW w:w="2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60</w:t>
            </w:r>
          </w:p>
        </w:tc>
        <w:tc>
          <w:tcPr>
            <w:tcW w:w="2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48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37</w:t>
            </w:r>
          </w:p>
        </w:tc>
      </w:tr>
    </w:tbl>
    <w:p>
      <w:pPr>
        <w:shd w:val="clear" w:color="auto" w:fill="FFFFFF"/>
        <w:spacing w:line="440" w:lineRule="exact"/>
        <w:ind w:firstLine="480" w:firstLineChars="200"/>
        <w:jc w:val="left"/>
        <w:rPr>
          <w:rFonts w:ascii="仿宋_GB2312" w:hAnsi="宋体" w:eastAsia="仿宋_GB2312" w:cs="宋体"/>
          <w:color w:val="000000" w:themeColor="text1"/>
          <w:sz w:val="24"/>
          <w:szCs w:val="24"/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</w:rPr>
        <w:t>农用地基准地价内涵说明：①估价期日：2020年1月1日。②土地使用年期：集体农用地30年、国有农用地50年。③基准作物/标准耕作制度：耕地：冬小麦-夏玉米，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一年两熟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</w:rPr>
        <w:t>；园地：苹果；林地：杨树；设施农用地：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</w:rPr>
        <w:t>养猪设施。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</w:rPr>
        <w:t>④基本设施状况：耕地：宗地外通路、通电、通水，宗地内土地平整、大小适中、形状基本规则、有基本的灌溉设施和田间道路，密度适中。园地：宗地外通路、通电、通水，有基本的灌溉设施和田间道路；林地：宗地外通路，有基本的田间道路；设施农用地：宗地外通路、通电、通水，有基本的水源和排水设施。</w:t>
      </w:r>
    </w:p>
    <w:p>
      <w:pPr>
        <w:shd w:val="clear" w:color="auto" w:fill="FFFFFF"/>
        <w:spacing w:line="400" w:lineRule="exact"/>
        <w:jc w:val="left"/>
        <w:rPr>
          <w:rFonts w:ascii="宋体" w:hAnsi="宋体" w:eastAsia="黑体" w:cs="宋体"/>
          <w:color w:val="000000" w:themeColor="text1"/>
          <w:sz w:val="30"/>
          <w:szCs w:val="30"/>
        </w:rPr>
      </w:pPr>
      <w:r>
        <w:rPr>
          <w:rFonts w:hint="eastAsia" w:ascii="宋体" w:hAnsi="宋体" w:eastAsia="黑体" w:cs="宋体"/>
          <w:color w:val="000000" w:themeColor="text1"/>
          <w:sz w:val="32"/>
          <w:szCs w:val="32"/>
        </w:rPr>
        <w:t xml:space="preserve">附件3   </w:t>
      </w:r>
      <w:r>
        <w:rPr>
          <w:rFonts w:hint="eastAsia" w:ascii="宋体" w:hAnsi="宋体" w:eastAsia="仿宋" w:cs="宋体"/>
          <w:b/>
          <w:color w:val="000000" w:themeColor="text1"/>
          <w:sz w:val="32"/>
          <w:szCs w:val="32"/>
        </w:rPr>
        <w:t xml:space="preserve">            </w:t>
      </w:r>
      <w:r>
        <w:rPr>
          <w:rFonts w:hint="eastAsia" w:ascii="宋体" w:hAnsi="宋体" w:eastAsia="黑体" w:cs="宋体"/>
          <w:color w:val="000000" w:themeColor="text1"/>
          <w:sz w:val="30"/>
          <w:szCs w:val="30"/>
        </w:rPr>
        <w:t xml:space="preserve">        </w:t>
      </w:r>
    </w:p>
    <w:p>
      <w:pPr>
        <w:shd w:val="clear" w:color="auto" w:fill="FFFFFF"/>
        <w:tabs>
          <w:tab w:val="left" w:pos="11010"/>
        </w:tabs>
        <w:spacing w:line="400" w:lineRule="exact"/>
        <w:jc w:val="center"/>
        <w:rPr>
          <w:rFonts w:ascii="宋体" w:hAnsi="宋体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宋体" w:hAnsi="宋体" w:eastAsia="方正小标宋简体" w:cs="方正小标宋简体"/>
          <w:color w:val="000000" w:themeColor="text1"/>
          <w:sz w:val="36"/>
          <w:szCs w:val="36"/>
        </w:rPr>
        <w:t>济源市标定地价公示信息表</w:t>
      </w:r>
    </w:p>
    <w:p>
      <w:pPr>
        <w:shd w:val="clear" w:color="auto" w:fill="FFFFFF"/>
        <w:spacing w:line="320" w:lineRule="exact"/>
        <w:ind w:left="7600" w:leftChars="3800" w:firstLine="3240" w:firstLineChars="1350"/>
        <w:jc w:val="left"/>
        <w:rPr>
          <w:rFonts w:ascii="宋体" w:hAnsi="宋体" w:eastAsia="仿宋" w:cs="宋体"/>
          <w:color w:val="000000" w:themeColor="text1"/>
          <w:sz w:val="24"/>
          <w:szCs w:val="24"/>
        </w:rPr>
      </w:pPr>
      <w:r>
        <w:rPr>
          <w:rFonts w:hint="eastAsia" w:ascii="宋体" w:hAnsi="宋体" w:eastAsia="仿宋" w:cs="宋体"/>
          <w:color w:val="000000" w:themeColor="text1"/>
          <w:sz w:val="24"/>
          <w:szCs w:val="24"/>
        </w:rPr>
        <w:t>单位：平方米，元/平方米，年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899"/>
        <w:gridCol w:w="2230"/>
        <w:gridCol w:w="995"/>
        <w:gridCol w:w="992"/>
        <w:gridCol w:w="1419"/>
        <w:gridCol w:w="1416"/>
        <w:gridCol w:w="1276"/>
        <w:gridCol w:w="1276"/>
        <w:gridCol w:w="992"/>
        <w:gridCol w:w="1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7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标准宗地编码</w:t>
            </w:r>
          </w:p>
        </w:tc>
        <w:tc>
          <w:tcPr>
            <w:tcW w:w="778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4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34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权利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49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49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容积率</w:t>
            </w:r>
          </w:p>
        </w:tc>
        <w:tc>
          <w:tcPr>
            <w:tcW w:w="44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开发程度</w:t>
            </w:r>
          </w:p>
        </w:tc>
        <w:tc>
          <w:tcPr>
            <w:tcW w:w="44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设定使用年限</w:t>
            </w:r>
          </w:p>
        </w:tc>
        <w:tc>
          <w:tcPr>
            <w:tcW w:w="70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标定地价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地面价</w:t>
            </w:r>
          </w:p>
        </w:tc>
        <w:tc>
          <w:tcPr>
            <w:tcW w:w="3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楼面价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419001S5000101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信隆华城底商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362.2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1.9（分摊）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3383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419001S5000201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星湖湾底商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8586.45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1.8（分摊）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3444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419001S5000301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建业步行街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1965.83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5233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419001S5000401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时代广场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16203.6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5119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419001S5000501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金色家园底商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8593.95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1.7（分摊）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3842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419001S5000601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隆兴水岸香洲底商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11246.26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1.5（分摊）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3096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419001S5000701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东方国际商务楼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53333.3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4989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419001S5000801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中盛建材城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73403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3260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419001S5000901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升龙城底商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7814.6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1.7（分摊）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4031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419001S5001001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春天里底商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11459.96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1.7（分摊）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3641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419001S5001101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规划标准宗地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6004.5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7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标准宗地编码</w:t>
            </w:r>
          </w:p>
        </w:tc>
        <w:tc>
          <w:tcPr>
            <w:tcW w:w="778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4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34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权利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49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49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容积率</w:t>
            </w:r>
          </w:p>
        </w:tc>
        <w:tc>
          <w:tcPr>
            <w:tcW w:w="44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开发程度</w:t>
            </w:r>
          </w:p>
        </w:tc>
        <w:tc>
          <w:tcPr>
            <w:tcW w:w="44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设定使用年限</w:t>
            </w:r>
          </w:p>
        </w:tc>
        <w:tc>
          <w:tcPr>
            <w:tcW w:w="70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标定地价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地面价</w:t>
            </w:r>
          </w:p>
        </w:tc>
        <w:tc>
          <w:tcPr>
            <w:tcW w:w="3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楼面价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419001S5001201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建业桂园底商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6862.35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1.8（分摊）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2560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419001S5001301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中原国际商贸城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58313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2825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419001S5001401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锦绣城底商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7787.68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1.9（分摊）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2811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419001S5001501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建业城底商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8458.05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2.1（分摊）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3712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419001S5001601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规划标准宗地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69000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2960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419001S5001701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王庄花苑底商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25193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1.5（分摊）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2226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419001S5001801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济东新区底商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15676.32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1.5（分摊）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2221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419001S5001901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规划标准宗地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6500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2587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419001S5002001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规划标准宗地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6000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2930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419001S5002101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汇景家园底商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4524.75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1.7（分摊）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2248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419001S5002201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文曲府底商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商服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1436.63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1.8（分摊）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2912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419001Z7000101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信隆华城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7244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4574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419001Z7000201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星湖湾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57243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3926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7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标准宗地编码</w:t>
            </w:r>
          </w:p>
        </w:tc>
        <w:tc>
          <w:tcPr>
            <w:tcW w:w="778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4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34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权利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49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49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容积率</w:t>
            </w:r>
          </w:p>
        </w:tc>
        <w:tc>
          <w:tcPr>
            <w:tcW w:w="44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开发程度</w:t>
            </w:r>
          </w:p>
        </w:tc>
        <w:tc>
          <w:tcPr>
            <w:tcW w:w="44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设定使用年限</w:t>
            </w:r>
          </w:p>
        </w:tc>
        <w:tc>
          <w:tcPr>
            <w:tcW w:w="70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标定地价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地面价</w:t>
            </w:r>
          </w:p>
        </w:tc>
        <w:tc>
          <w:tcPr>
            <w:tcW w:w="3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楼面价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419001Z7000301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城市花园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28731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5347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419001Z7000401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东方印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29757.67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4450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419001Z7000501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金色家园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27293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4094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419001Z7000601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隆兴水岸香洲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112462.6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3661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419001Z7000701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济源府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49506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5629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419001Z7000801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紫槿花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28423.4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5679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419001Z7000901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升龙城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39073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5341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419001Z7001001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济东新区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78381.6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2980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419001Z7001101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春天里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38199.86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3497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419001Z7001201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建业联盟新城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74582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3367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419001Z7001301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规划标准宗地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46000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2820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419001Z7001401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建业桂园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17506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2927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419001Z7001501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迎宾府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62498.98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2926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7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标准宗地编码</w:t>
            </w:r>
          </w:p>
        </w:tc>
        <w:tc>
          <w:tcPr>
            <w:tcW w:w="778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4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34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权利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49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49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容积率</w:t>
            </w:r>
          </w:p>
        </w:tc>
        <w:tc>
          <w:tcPr>
            <w:tcW w:w="44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开发程度</w:t>
            </w:r>
          </w:p>
        </w:tc>
        <w:tc>
          <w:tcPr>
            <w:tcW w:w="44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设定使用年限</w:t>
            </w:r>
          </w:p>
        </w:tc>
        <w:tc>
          <w:tcPr>
            <w:tcW w:w="70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标定地价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地面价</w:t>
            </w:r>
          </w:p>
        </w:tc>
        <w:tc>
          <w:tcPr>
            <w:tcW w:w="3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楼面价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419001Z7001601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规划标准宗地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99000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2914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419001Z7001701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王庄花苑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107967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2983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419001Z7001801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锦绣城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38938.4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3439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419001Z7001901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规划标准宗地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50000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2762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419001Z7002001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建业城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56387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4324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419001Z7002101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老电厂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33999.02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2367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419001Z7002201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文曲府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住宅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14366.26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七通一平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3085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419001G6000101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富士康工业园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工业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105484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五通一平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　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419001G6000201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方升化学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工业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69760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五通一平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　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419001G6000301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巨力钢丝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工业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125356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五通一平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　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419001G6000401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海湾实业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工业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95446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五通一平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　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419001G6000501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沁园工业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工业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58614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五通一平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　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419001G6000601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丰田肥业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工业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11680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五通一平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　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7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63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标准宗地编码</w:t>
            </w:r>
          </w:p>
        </w:tc>
        <w:tc>
          <w:tcPr>
            <w:tcW w:w="778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47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用途</w:t>
            </w:r>
          </w:p>
        </w:tc>
        <w:tc>
          <w:tcPr>
            <w:tcW w:w="34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权利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49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49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容积率</w:t>
            </w:r>
          </w:p>
        </w:tc>
        <w:tc>
          <w:tcPr>
            <w:tcW w:w="44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开发程度</w:t>
            </w:r>
          </w:p>
        </w:tc>
        <w:tc>
          <w:tcPr>
            <w:tcW w:w="44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设定使用年限</w:t>
            </w:r>
          </w:p>
        </w:tc>
        <w:tc>
          <w:tcPr>
            <w:tcW w:w="70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标定地价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地面价</w:t>
            </w:r>
          </w:p>
        </w:tc>
        <w:tc>
          <w:tcPr>
            <w:tcW w:w="3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楼面价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419001G6000701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中沃实业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工业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73825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五通一平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　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419001G6000801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鲁泰能源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工业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267509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五通一平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　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419001G6000901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豫光锌业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工业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1308308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五通一平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　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419001G6001001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联创化工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工业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73066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五通一平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　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419001G6001101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豫光金铅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工业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333078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五通一平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　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419001G6001201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天龙焦化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工业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284069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五通一平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　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419001G6001301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天意节能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工业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出让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color w:val="000000" w:themeColor="text1"/>
                <w:sz w:val="24"/>
                <w:szCs w:val="24"/>
              </w:rPr>
              <w:t>36822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sz w:val="24"/>
                <w:szCs w:val="24"/>
              </w:rPr>
              <w:t>五通一平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　---</w:t>
            </w:r>
          </w:p>
        </w:tc>
      </w:tr>
    </w:tbl>
    <w:p>
      <w:pPr>
        <w:shd w:val="clear" w:color="auto" w:fill="FFFFFF"/>
        <w:spacing w:line="440" w:lineRule="exact"/>
        <w:ind w:firstLine="480" w:firstLineChars="200"/>
        <w:jc w:val="left"/>
        <w:rPr>
          <w:rFonts w:ascii="仿宋_GB2312" w:hAnsi="宋体" w:eastAsia="仿宋_GB2312" w:cs="宋体"/>
          <w:color w:val="000000" w:themeColor="text1"/>
          <w:sz w:val="24"/>
          <w:szCs w:val="24"/>
        </w:rPr>
      </w:pPr>
      <w:r>
        <w:rPr>
          <w:rFonts w:hint="eastAsia" w:ascii="仿宋_GB2312" w:hAnsi="黑体" w:eastAsia="仿宋_GB2312" w:cs="宋体"/>
          <w:color w:val="000000" w:themeColor="text1"/>
          <w:sz w:val="24"/>
          <w:szCs w:val="24"/>
        </w:rPr>
        <w:t>标定地价内涵说明：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</w:rPr>
        <w:t>①估价期日：2021年1月1日。②权利特征：完整的土地权利价格，不考虑抵押权、地役权等他项权利的限制。③土地使用权类型现状：以证载或经批准的土地使用权类型为依据；对于近期规划建设用地内拟出让土地，设定为出让。④土地用途：证载或经批准的合法用途；对于拟出让标准宗地用途按规划用途确定。⑤容积率：合法的现状容积率，规划地块采用规划容积率。⑥开发程度：原则上依据标准宗地合法的现状条件设定，其中红线内开发程度的设定，原则上仅包括土地是否平整。⑦使用年期：出让土地设定为商服用地40年，住宅用地70年，工业用地50年。⑧市场特征：为平稳正常情况、公开竞争市场条件。⑨评估价格表现形式：对于容积率高于1.0的商服、住宅用地土地价格表现形式为楼面地价和地面地价；对于容积率低于或等于1.0的商服、住宅用地以及其他用途土地价格表现形式为地面地价。</w:t>
      </w:r>
    </w:p>
    <w:sectPr>
      <w:footerReference r:id="rId3" w:type="default"/>
      <w:pgSz w:w="16838" w:h="11906" w:orient="landscape"/>
      <w:pgMar w:top="1361" w:right="1361" w:bottom="1361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5412740</wp:posOffset>
              </wp:positionH>
              <wp:positionV relativeFrom="paragraph">
                <wp:posOffset>60325</wp:posOffset>
              </wp:positionV>
              <wp:extent cx="534035" cy="19748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6.2pt;margin-top:4.75pt;height:15.55pt;width:42.05pt;mso-position-horizontal-relative:margin;mso-wrap-style:none;z-index:251659264;mso-width-relative:page;mso-height-relative:page;" filled="f" stroked="f" coordsize="21600,21600" o:gfxdata="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FcRhDZAAAACAEAAA8AAAAAAAAAAQAgAAAAIgAAAGRycy9kb3ducmV2LnhtbFBLAQIUABQAAAAI&#10;AIdO4kDTdUnP7AEAANYDAAAOAAAAAAAAAAEAIAAAACgBAABkcnMvZTJvRG9jLnhtbFBLBQYAAAAA&#10;BgAGAFkBAACG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mM4OTdmMTY2MzZmMTBkNTZhYzhjMzQ0NTI3ZjQifQ=="/>
  </w:docVars>
  <w:rsids>
    <w:rsidRoot w:val="00C72C09"/>
    <w:rsid w:val="000161F0"/>
    <w:rsid w:val="0002565A"/>
    <w:rsid w:val="00045634"/>
    <w:rsid w:val="00060D78"/>
    <w:rsid w:val="00077AC1"/>
    <w:rsid w:val="0008732D"/>
    <w:rsid w:val="00090E07"/>
    <w:rsid w:val="000B08EC"/>
    <w:rsid w:val="000B20E0"/>
    <w:rsid w:val="000C2778"/>
    <w:rsid w:val="000D0B53"/>
    <w:rsid w:val="000D65CE"/>
    <w:rsid w:val="001000CD"/>
    <w:rsid w:val="00105A7A"/>
    <w:rsid w:val="00147D26"/>
    <w:rsid w:val="0015287D"/>
    <w:rsid w:val="00155895"/>
    <w:rsid w:val="00160EE0"/>
    <w:rsid w:val="00192C8C"/>
    <w:rsid w:val="001A1D07"/>
    <w:rsid w:val="001A435E"/>
    <w:rsid w:val="001A7C92"/>
    <w:rsid w:val="001D44C8"/>
    <w:rsid w:val="00213692"/>
    <w:rsid w:val="00261E5A"/>
    <w:rsid w:val="00280E01"/>
    <w:rsid w:val="002B2A11"/>
    <w:rsid w:val="002C325B"/>
    <w:rsid w:val="00316E60"/>
    <w:rsid w:val="003518C7"/>
    <w:rsid w:val="0036206C"/>
    <w:rsid w:val="003754B9"/>
    <w:rsid w:val="00390C8E"/>
    <w:rsid w:val="003F3C1A"/>
    <w:rsid w:val="00401D1B"/>
    <w:rsid w:val="00405F54"/>
    <w:rsid w:val="004172CC"/>
    <w:rsid w:val="004253AD"/>
    <w:rsid w:val="00432C41"/>
    <w:rsid w:val="004366DD"/>
    <w:rsid w:val="00440A55"/>
    <w:rsid w:val="00453C15"/>
    <w:rsid w:val="00497539"/>
    <w:rsid w:val="004B7EB2"/>
    <w:rsid w:val="004E2C2C"/>
    <w:rsid w:val="004E3F76"/>
    <w:rsid w:val="004F0B82"/>
    <w:rsid w:val="00502F67"/>
    <w:rsid w:val="00532EF1"/>
    <w:rsid w:val="0055026B"/>
    <w:rsid w:val="00551169"/>
    <w:rsid w:val="005610CF"/>
    <w:rsid w:val="00564C46"/>
    <w:rsid w:val="005673F5"/>
    <w:rsid w:val="0057390B"/>
    <w:rsid w:val="00595A17"/>
    <w:rsid w:val="005A06DC"/>
    <w:rsid w:val="005D3239"/>
    <w:rsid w:val="005E04A6"/>
    <w:rsid w:val="005E6FBA"/>
    <w:rsid w:val="0062779D"/>
    <w:rsid w:val="00635B2C"/>
    <w:rsid w:val="0065419B"/>
    <w:rsid w:val="00655F70"/>
    <w:rsid w:val="00660B6D"/>
    <w:rsid w:val="00670EBD"/>
    <w:rsid w:val="00676570"/>
    <w:rsid w:val="0069249B"/>
    <w:rsid w:val="006B21EF"/>
    <w:rsid w:val="006D7A66"/>
    <w:rsid w:val="006F19DA"/>
    <w:rsid w:val="006F6C3C"/>
    <w:rsid w:val="0072755C"/>
    <w:rsid w:val="007A76CC"/>
    <w:rsid w:val="007F5FDB"/>
    <w:rsid w:val="00807D96"/>
    <w:rsid w:val="00817AF6"/>
    <w:rsid w:val="008226E8"/>
    <w:rsid w:val="00823511"/>
    <w:rsid w:val="008278E6"/>
    <w:rsid w:val="00880E5B"/>
    <w:rsid w:val="008A04CA"/>
    <w:rsid w:val="008A0C6A"/>
    <w:rsid w:val="008B12DF"/>
    <w:rsid w:val="008C4BAC"/>
    <w:rsid w:val="008E0A0C"/>
    <w:rsid w:val="00946654"/>
    <w:rsid w:val="00954A19"/>
    <w:rsid w:val="00955183"/>
    <w:rsid w:val="00996176"/>
    <w:rsid w:val="009C5C25"/>
    <w:rsid w:val="009E19BD"/>
    <w:rsid w:val="009E67F3"/>
    <w:rsid w:val="00A05210"/>
    <w:rsid w:val="00A16FBF"/>
    <w:rsid w:val="00A4104F"/>
    <w:rsid w:val="00A623DC"/>
    <w:rsid w:val="00A706C6"/>
    <w:rsid w:val="00A72E9D"/>
    <w:rsid w:val="00A7506E"/>
    <w:rsid w:val="00AB1D59"/>
    <w:rsid w:val="00AE1237"/>
    <w:rsid w:val="00B05AAE"/>
    <w:rsid w:val="00B11A2B"/>
    <w:rsid w:val="00B273E8"/>
    <w:rsid w:val="00B30FC2"/>
    <w:rsid w:val="00B45C85"/>
    <w:rsid w:val="00B673F5"/>
    <w:rsid w:val="00B74157"/>
    <w:rsid w:val="00B81111"/>
    <w:rsid w:val="00B91431"/>
    <w:rsid w:val="00BD1E7F"/>
    <w:rsid w:val="00C175C2"/>
    <w:rsid w:val="00C551FB"/>
    <w:rsid w:val="00C64B06"/>
    <w:rsid w:val="00C72C09"/>
    <w:rsid w:val="00CB0B56"/>
    <w:rsid w:val="00CD503A"/>
    <w:rsid w:val="00CE0F7C"/>
    <w:rsid w:val="00D16B44"/>
    <w:rsid w:val="00D368BA"/>
    <w:rsid w:val="00D51082"/>
    <w:rsid w:val="00D54B91"/>
    <w:rsid w:val="00D60A67"/>
    <w:rsid w:val="00D619BA"/>
    <w:rsid w:val="00DE15C1"/>
    <w:rsid w:val="00DE585E"/>
    <w:rsid w:val="00DE73F4"/>
    <w:rsid w:val="00DF0863"/>
    <w:rsid w:val="00DF1B45"/>
    <w:rsid w:val="00E20824"/>
    <w:rsid w:val="00E223BA"/>
    <w:rsid w:val="00E2367D"/>
    <w:rsid w:val="00E47AD2"/>
    <w:rsid w:val="00ED5415"/>
    <w:rsid w:val="00EE4C27"/>
    <w:rsid w:val="00EF0F93"/>
    <w:rsid w:val="00EF4F32"/>
    <w:rsid w:val="00F10588"/>
    <w:rsid w:val="00F450EE"/>
    <w:rsid w:val="00F51393"/>
    <w:rsid w:val="00F55980"/>
    <w:rsid w:val="00F8002D"/>
    <w:rsid w:val="00F84F23"/>
    <w:rsid w:val="00F94CB0"/>
    <w:rsid w:val="12EC6CE0"/>
    <w:rsid w:val="36DC4C50"/>
    <w:rsid w:val="370A5DAC"/>
    <w:rsid w:val="393A6CFA"/>
    <w:rsid w:val="7A05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8"/>
    <w:uiPriority w:val="0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 w:cs="仿宋_GB2312"/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semiHidden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正文文本 Char"/>
    <w:basedOn w:val="7"/>
    <w:link w:val="3"/>
    <w:semiHidden/>
    <w:qFormat/>
    <w:uiPriority w:val="0"/>
    <w:rPr>
      <w:rFonts w:ascii="仿宋_GB2312" w:hAnsi="Times New Roman" w:eastAsia="仿宋_GB2312" w:cs="仿宋_GB2312"/>
      <w:kern w:val="0"/>
      <w:sz w:val="32"/>
      <w:szCs w:val="32"/>
    </w:rPr>
  </w:style>
  <w:style w:type="paragraph" w:customStyle="1" w:styleId="10">
    <w:name w:val="批注框文本1"/>
    <w:basedOn w:val="1"/>
    <w:link w:val="11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10"/>
    <w:semiHidden/>
    <w:qFormat/>
    <w:uiPriority w:val="0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0"/>
    <w:rPr>
      <w:sz w:val="18"/>
      <w:szCs w:val="18"/>
    </w:rPr>
  </w:style>
  <w:style w:type="character" w:customStyle="1" w:styleId="13">
    <w:name w:val="页眉 Char"/>
    <w:basedOn w:val="7"/>
    <w:link w:val="5"/>
    <w:semiHidden/>
    <w:qFormat/>
    <w:uiPriority w:val="0"/>
    <w:rPr>
      <w:sz w:val="18"/>
      <w:szCs w:val="18"/>
    </w:rPr>
  </w:style>
  <w:style w:type="paragraph" w:customStyle="1" w:styleId="14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character" w:customStyle="1" w:styleId="16">
    <w:name w:val="fontda"/>
    <w:basedOn w:val="7"/>
    <w:qFormat/>
    <w:uiPriority w:val="0"/>
  </w:style>
  <w:style w:type="character" w:customStyle="1" w:styleId="17">
    <w:name w:val="fontxiao"/>
    <w:basedOn w:val="7"/>
    <w:qFormat/>
    <w:uiPriority w:val="0"/>
  </w:style>
  <w:style w:type="character" w:customStyle="1" w:styleId="18">
    <w:name w:val="line"/>
    <w:basedOn w:val="7"/>
    <w:qFormat/>
    <w:uiPriority w:val="0"/>
  </w:style>
  <w:style w:type="character" w:customStyle="1" w:styleId="19">
    <w:name w:val="s"/>
    <w:basedOn w:val="7"/>
    <w:qFormat/>
    <w:uiPriority w:val="0"/>
  </w:style>
  <w:style w:type="character" w:customStyle="1" w:styleId="20">
    <w:name w:val="m"/>
    <w:basedOn w:val="7"/>
    <w:qFormat/>
    <w:uiPriority w:val="0"/>
  </w:style>
  <w:style w:type="character" w:customStyle="1" w:styleId="21">
    <w:name w:val="l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7D23A1-7923-435B-BE98-9F82FE5524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2850</Words>
  <Characters>4553</Characters>
  <Lines>41</Lines>
  <Paragraphs>11</Paragraphs>
  <TotalTime>266</TotalTime>
  <ScaleCrop>false</ScaleCrop>
  <LinksUpToDate>false</LinksUpToDate>
  <CharactersWithSpaces>4872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2022-09-29T09:01:00Z</dcterms:created>
  <dc:creator>Administrator</dc:creator>
  <cp:lastModifiedBy>菲</cp:lastModifiedBy>
  <cp:lastPrinted>2023-02-03T09:20:00Z</cp:lastPrinted>
  <dcterms:modified xsi:type="dcterms:W3CDTF">2023-09-04T07:35:34Z</dcterms:modified>
  <dc:title>Administrator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4BF51F19CE1B4EEBB3E991D293AA5FB0_13</vt:lpwstr>
  </property>
</Properties>
</file>