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jc w:val="left"/>
        <w:textAlignment w:val="center"/>
        <w:rPr>
          <w:rFonts w:hint="eastAsia" w:ascii="宋体" w:hAnsi="宋体" w:eastAsia="黑体"/>
          <w:color w:val="000000"/>
          <w:szCs w:val="32"/>
        </w:rPr>
      </w:pPr>
      <w:r>
        <w:rPr>
          <w:rFonts w:hint="eastAsia" w:ascii="宋体" w:hAnsi="宋体" w:eastAsia="黑体"/>
          <w:color w:val="000000"/>
          <w:szCs w:val="32"/>
        </w:rPr>
        <w:t>附件</w:t>
      </w:r>
    </w:p>
    <w:p>
      <w:pPr>
        <w:spacing w:line="590" w:lineRule="exact"/>
        <w:jc w:val="center"/>
        <w:rPr>
          <w:rFonts w:hint="eastAsia" w:ascii="宋体" w:hAnsi="宋体" w:eastAsia="方正大标宋简体" w:cs="仿宋_GB2312"/>
          <w:sz w:val="44"/>
          <w:szCs w:val="44"/>
        </w:rPr>
      </w:pPr>
      <w:bookmarkStart w:id="0" w:name="_GoBack"/>
      <w:r>
        <w:rPr>
          <w:rFonts w:hint="eastAsia" w:ascii="宋体" w:hAnsi="宋体" w:eastAsia="方正大标宋简体"/>
          <w:color w:val="000000"/>
          <w:sz w:val="44"/>
          <w:szCs w:val="44"/>
        </w:rPr>
        <w:t>重点任务分工及进度安排表</w:t>
      </w:r>
    </w:p>
    <w:bookmarkEnd w:id="0"/>
    <w:tbl>
      <w:tblPr>
        <w:tblStyle w:val="3"/>
        <w:tblW w:w="9055" w:type="dxa"/>
        <w:jc w:val="center"/>
        <w:tblInd w:w="0" w:type="dxa"/>
        <w:tblLayout w:type="fixed"/>
        <w:tblCellMar>
          <w:top w:w="0" w:type="dxa"/>
          <w:left w:w="15" w:type="dxa"/>
          <w:bottom w:w="0" w:type="dxa"/>
          <w:right w:w="15" w:type="dxa"/>
        </w:tblCellMar>
      </w:tblPr>
      <w:tblGrid>
        <w:gridCol w:w="534"/>
        <w:gridCol w:w="4529"/>
        <w:gridCol w:w="2340"/>
        <w:gridCol w:w="1652"/>
      </w:tblGrid>
      <w:tr>
        <w:tblPrEx>
          <w:tblLayout w:type="fixed"/>
          <w:tblCellMar>
            <w:top w:w="0" w:type="dxa"/>
            <w:left w:w="15" w:type="dxa"/>
            <w:bottom w:w="0" w:type="dxa"/>
            <w:right w:w="15" w:type="dxa"/>
          </w:tblCellMar>
        </w:tblPrEx>
        <w:trPr>
          <w:trHeight w:val="570" w:hRule="atLeast"/>
          <w:tblHeade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黑体"/>
                <w:color w:val="000000"/>
                <w:sz w:val="24"/>
                <w:szCs w:val="24"/>
              </w:rPr>
            </w:pPr>
            <w:r>
              <w:rPr>
                <w:rFonts w:ascii="宋体" w:hAnsi="宋体" w:eastAsia="黑体"/>
                <w:color w:val="000000"/>
                <w:sz w:val="24"/>
                <w:szCs w:val="24"/>
              </w:rPr>
              <w:t>序号</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黑体"/>
                <w:color w:val="000000"/>
                <w:sz w:val="24"/>
                <w:szCs w:val="24"/>
              </w:rPr>
            </w:pPr>
            <w:r>
              <w:rPr>
                <w:rFonts w:ascii="宋体" w:hAnsi="宋体" w:eastAsia="黑体"/>
                <w:color w:val="000000"/>
                <w:sz w:val="24"/>
                <w:szCs w:val="24"/>
              </w:rPr>
              <w:t>工作任务</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黑体"/>
                <w:color w:val="000000"/>
                <w:sz w:val="24"/>
                <w:szCs w:val="24"/>
              </w:rPr>
            </w:pPr>
            <w:r>
              <w:rPr>
                <w:rFonts w:ascii="宋体" w:hAnsi="宋体" w:eastAsia="黑体"/>
                <w:color w:val="000000"/>
                <w:sz w:val="24"/>
                <w:szCs w:val="24"/>
              </w:rPr>
              <w:t>责任单位</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黑体"/>
                <w:color w:val="000000"/>
                <w:sz w:val="24"/>
                <w:szCs w:val="24"/>
              </w:rPr>
            </w:pPr>
            <w:r>
              <w:rPr>
                <w:rFonts w:ascii="宋体" w:hAnsi="宋体" w:eastAsia="黑体"/>
                <w:color w:val="000000"/>
                <w:sz w:val="24"/>
                <w:szCs w:val="24"/>
              </w:rPr>
              <w:t>时间进度</w:t>
            </w:r>
          </w:p>
        </w:tc>
      </w:tr>
      <w:tr>
        <w:tblPrEx>
          <w:tblLayout w:type="fixed"/>
          <w:tblCellMar>
            <w:top w:w="0" w:type="dxa"/>
            <w:left w:w="15" w:type="dxa"/>
            <w:bottom w:w="0" w:type="dxa"/>
            <w:right w:w="15" w:type="dxa"/>
          </w:tblCellMar>
        </w:tblPrEx>
        <w:trPr>
          <w:trHeight w:val="819"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建立困难残疾人生活补贴制度和重度残疾人护理补贴制度。</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市民政局</w:t>
            </w:r>
            <w:r>
              <w:rPr>
                <w:rFonts w:hint="eastAsia" w:ascii="宋体" w:hAnsi="宋体"/>
                <w:color w:val="000000"/>
                <w:sz w:val="24"/>
                <w:szCs w:val="24"/>
              </w:rPr>
              <w:t>、</w:t>
            </w:r>
            <w:r>
              <w:rPr>
                <w:rFonts w:ascii="宋体" w:hAnsi="宋体"/>
                <w:color w:val="000000"/>
                <w:sz w:val="24"/>
                <w:szCs w:val="24"/>
              </w:rPr>
              <w:t>财政局、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201</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981"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落实低</w:t>
            </w:r>
            <w:r>
              <w:rPr>
                <w:rFonts w:hint="eastAsia" w:ascii="宋体" w:hAnsi="宋体"/>
                <w:color w:val="000000"/>
                <w:sz w:val="24"/>
                <w:szCs w:val="24"/>
              </w:rPr>
              <w:t>保</w:t>
            </w:r>
            <w:r>
              <w:rPr>
                <w:rFonts w:ascii="宋体" w:hAnsi="宋体"/>
                <w:color w:val="000000"/>
                <w:sz w:val="24"/>
                <w:szCs w:val="24"/>
              </w:rPr>
              <w:t>残疾人家庭生活用电、水、气、暖等费用优惠和补贴政策。</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民政局、财政局、发展和改革委员会</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58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3</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逐步扩大基本医疗保险支持的医疗康复项目，完善重度残疾人医疗报销制度，做好重度残疾人就医费用结算业务。</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市人力资源和社会保障局</w:t>
            </w:r>
            <w:r>
              <w:rPr>
                <w:rFonts w:hint="eastAsia" w:ascii="宋体" w:hAnsi="宋体"/>
                <w:color w:val="000000"/>
                <w:sz w:val="24"/>
                <w:szCs w:val="24"/>
              </w:rPr>
              <w:t>、</w:t>
            </w:r>
            <w:r>
              <w:rPr>
                <w:rFonts w:ascii="宋体" w:hAnsi="宋体"/>
                <w:color w:val="000000"/>
                <w:sz w:val="24"/>
                <w:szCs w:val="24"/>
              </w:rPr>
              <w:t>卫生和计划生育委员会、民政局、财政局、残联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844"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4</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全面完成农村残疾人家庭存量危房改造。</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市住房和城乡建设局</w:t>
            </w:r>
            <w:r>
              <w:rPr>
                <w:rFonts w:hint="eastAsia" w:ascii="宋体" w:hAnsi="宋体"/>
                <w:color w:val="000000"/>
                <w:sz w:val="24"/>
                <w:szCs w:val="24"/>
              </w:rPr>
              <w:t>、</w:t>
            </w:r>
            <w:r>
              <w:rPr>
                <w:rFonts w:ascii="宋体" w:hAnsi="宋体"/>
                <w:color w:val="000000"/>
                <w:sz w:val="24"/>
                <w:szCs w:val="24"/>
              </w:rPr>
              <w:t>财政局、残联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2898"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5</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党政机关、事业单位、国有企业应当带头招录和安置残疾人就业，公务员招录和事业单位公开招聘工作人员，不得拒绝符合条件的残疾人报考，也不得拒绝录用符合条件的残疾人。到2020年，所有党政机关、残工委主要成员单位至少安排有1名残疾人。</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人力资源和社会保障局</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3667"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6</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推进市残疾人创业就业孵化基地建设，出台市残疾人创业就业孵化基地建设扶持政策，引进适合残疾人的创业项目，以政府购买服务的方式提供创业培训、创业见习与指导、融资服务、法律援助等孵化服务，残疾人创办的小微企业和社会组织在孵化基地内优先享受各项扶持政策。扶持盲人开展医疗和保健按摩，加大对辅助性就业支持力度。</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民政局、财政局、人力资源和社会保障局、卫生和计划生育委员会</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201</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1488"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7</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开发适合残疾人就业的公益性岗位，将难以实现就业的残疾人列入就业困难人员范围，给予重点就业服务和援助。</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市人力资源和社会保障局</w:t>
            </w:r>
            <w:r>
              <w:rPr>
                <w:rFonts w:hint="eastAsia" w:ascii="宋体" w:hAnsi="宋体"/>
                <w:color w:val="000000"/>
                <w:sz w:val="24"/>
                <w:szCs w:val="24"/>
              </w:rPr>
              <w:t>、</w:t>
            </w:r>
            <w:r>
              <w:rPr>
                <w:rFonts w:ascii="宋体" w:hAnsi="宋体"/>
                <w:color w:val="000000"/>
                <w:sz w:val="24"/>
                <w:szCs w:val="24"/>
              </w:rPr>
              <w:t>财政局、残联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459"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8</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pacing w:val="-4"/>
                <w:sz w:val="24"/>
                <w:szCs w:val="24"/>
              </w:rPr>
            </w:pPr>
            <w:r>
              <w:rPr>
                <w:rFonts w:ascii="宋体" w:hAnsi="宋体"/>
                <w:color w:val="000000"/>
                <w:spacing w:val="-4"/>
                <w:sz w:val="24"/>
                <w:szCs w:val="24"/>
              </w:rPr>
              <w:t>把农村贫困残疾人作为重点扶持对象纳入精准扶贫工作机制和贫困监测体系；对纳入建档立卡的残疾人扶贫对象，实施逐一帮扶。</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市扶贫办</w:t>
            </w:r>
            <w:r>
              <w:rPr>
                <w:rFonts w:hint="eastAsia" w:ascii="宋体" w:hAnsi="宋体"/>
                <w:color w:val="000000"/>
                <w:sz w:val="24"/>
                <w:szCs w:val="24"/>
              </w:rPr>
              <w:t>、</w:t>
            </w:r>
            <w:r>
              <w:rPr>
                <w:rFonts w:ascii="宋体" w:hAnsi="宋体"/>
                <w:color w:val="000000"/>
                <w:sz w:val="24"/>
                <w:szCs w:val="24"/>
              </w:rPr>
              <w:t>农牧局、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844"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9</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建立残疾报告制度，</w:t>
            </w:r>
            <w:r>
              <w:rPr>
                <w:rFonts w:hint="eastAsia" w:ascii="宋体" w:hAnsi="宋体"/>
                <w:color w:val="000000"/>
                <w:sz w:val="24"/>
                <w:szCs w:val="24"/>
              </w:rPr>
              <w:t>推动</w:t>
            </w:r>
            <w:r>
              <w:rPr>
                <w:rFonts w:ascii="宋体" w:hAnsi="宋体"/>
                <w:color w:val="000000"/>
                <w:sz w:val="24"/>
                <w:szCs w:val="24"/>
              </w:rPr>
              <w:t>卫生计生部门与残联信息共享。</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市卫生和计划生育委员会</w:t>
            </w:r>
            <w:r>
              <w:rPr>
                <w:rFonts w:hint="eastAsia" w:ascii="宋体" w:hAnsi="宋体"/>
                <w:color w:val="000000"/>
                <w:sz w:val="24"/>
                <w:szCs w:val="24"/>
              </w:rPr>
              <w:t>、</w:t>
            </w: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10</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hint="eastAsia" w:ascii="宋体" w:hAnsi="宋体"/>
                <w:color w:val="000000"/>
                <w:sz w:val="24"/>
                <w:szCs w:val="24"/>
              </w:rPr>
              <w:t>实施好0—6岁残疾儿童抢救性康复救助全覆盖工程，将脑瘫儿童康复纳入门诊慢性病报销范围，实行灵活的救助政策，根据康复效果适当延长康复期限。</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财政局、卫生和计划生育委员会、教育局</w:t>
            </w:r>
            <w:r>
              <w:rPr>
                <w:rFonts w:hint="eastAsia" w:ascii="宋体" w:hAnsi="宋体"/>
                <w:color w:val="000000"/>
                <w:sz w:val="24"/>
                <w:szCs w:val="24"/>
              </w:rPr>
              <w:t>、</w:t>
            </w:r>
            <w:r>
              <w:rPr>
                <w:rFonts w:ascii="宋体" w:hAnsi="宋体"/>
                <w:color w:val="000000"/>
                <w:sz w:val="24"/>
                <w:szCs w:val="24"/>
              </w:rPr>
              <w:t>人力资源和社会保障局</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981"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11</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实施重点康复项目，为城乡贫困残疾人、重度残疾人提供基本康复服务。</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财政局、卫生和计划生育委员会、</w:t>
            </w:r>
          </w:p>
          <w:p>
            <w:pPr>
              <w:autoSpaceDN w:val="0"/>
              <w:jc w:val="left"/>
              <w:textAlignment w:val="center"/>
              <w:rPr>
                <w:rFonts w:ascii="宋体" w:hAnsi="宋体"/>
                <w:color w:val="000000"/>
                <w:sz w:val="24"/>
                <w:szCs w:val="24"/>
              </w:rPr>
            </w:pPr>
            <w:r>
              <w:rPr>
                <w:rFonts w:ascii="宋体" w:hAnsi="宋体"/>
                <w:color w:val="000000"/>
                <w:sz w:val="24"/>
                <w:szCs w:val="24"/>
              </w:rPr>
              <w:t>民政局</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984"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12</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将残疾人社区医疗康复纳入城乡基层医疗卫生机构考核内容。</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市卫生和计划生育委员会</w:t>
            </w:r>
            <w:r>
              <w:rPr>
                <w:rFonts w:hint="eastAsia" w:ascii="宋体" w:hAnsi="宋体"/>
                <w:color w:val="000000"/>
                <w:sz w:val="24"/>
                <w:szCs w:val="24"/>
              </w:rPr>
              <w:t>、</w:t>
            </w:r>
            <w:r>
              <w:rPr>
                <w:rFonts w:ascii="宋体" w:hAnsi="宋体"/>
                <w:color w:val="000000"/>
                <w:sz w:val="24"/>
                <w:szCs w:val="24"/>
              </w:rPr>
              <w:t>民政局、残联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201</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底前完成</w:t>
            </w:r>
          </w:p>
        </w:tc>
      </w:tr>
      <w:tr>
        <w:tblPrEx>
          <w:tblLayout w:type="fixed"/>
          <w:tblCellMar>
            <w:top w:w="0" w:type="dxa"/>
            <w:left w:w="15" w:type="dxa"/>
            <w:bottom w:w="0" w:type="dxa"/>
            <w:right w:w="15" w:type="dxa"/>
          </w:tblCellMar>
        </w:tblPrEx>
        <w:trPr>
          <w:trHeight w:val="1473"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4"/>
                <w:szCs w:val="24"/>
              </w:rPr>
            </w:pPr>
            <w:r>
              <w:rPr>
                <w:rFonts w:ascii="宋体" w:hAnsi="宋体" w:eastAsia="宋体"/>
                <w:color w:val="000000"/>
                <w:sz w:val="24"/>
                <w:szCs w:val="24"/>
              </w:rPr>
              <w:t>13</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pacing w:val="-4"/>
                <w:sz w:val="24"/>
                <w:szCs w:val="24"/>
              </w:rPr>
            </w:pPr>
            <w:r>
              <w:rPr>
                <w:rFonts w:ascii="宋体" w:hAnsi="宋体"/>
                <w:color w:val="000000"/>
                <w:spacing w:val="-4"/>
                <w:sz w:val="24"/>
                <w:szCs w:val="24"/>
              </w:rPr>
              <w:t>提高残疾儿童接受学前教育的比例，切实解决未入学适龄残疾儿童少年义务教育问题，推行全纳教育，建立随班就读支持保障体系。</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市教育局</w:t>
            </w:r>
            <w:r>
              <w:rPr>
                <w:rFonts w:hint="eastAsia" w:ascii="宋体" w:hAnsi="宋体"/>
                <w:color w:val="000000"/>
                <w:sz w:val="24"/>
                <w:szCs w:val="24"/>
              </w:rPr>
              <w:t>、</w:t>
            </w:r>
            <w:r>
              <w:rPr>
                <w:rFonts w:ascii="宋体" w:hAnsi="宋体"/>
                <w:color w:val="000000"/>
                <w:sz w:val="24"/>
                <w:szCs w:val="24"/>
              </w:rPr>
              <w:t>财政局、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08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4"/>
                <w:szCs w:val="24"/>
              </w:rPr>
            </w:pPr>
            <w:r>
              <w:rPr>
                <w:rFonts w:ascii="宋体" w:hAnsi="宋体" w:eastAsia="宋体"/>
                <w:color w:val="000000"/>
                <w:sz w:val="24"/>
                <w:szCs w:val="24"/>
              </w:rPr>
              <w:t>14</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pacing w:val="-4"/>
                <w:sz w:val="24"/>
                <w:szCs w:val="24"/>
              </w:rPr>
            </w:pPr>
            <w:r>
              <w:rPr>
                <w:rFonts w:ascii="宋体" w:hAnsi="宋体"/>
                <w:color w:val="000000"/>
                <w:spacing w:val="-4"/>
                <w:sz w:val="24"/>
                <w:szCs w:val="24"/>
              </w:rPr>
              <w:t>义务教育阶段特殊教育学校年生均预算内公用经费标准2016年达到6000元，</w:t>
            </w:r>
            <w:r>
              <w:rPr>
                <w:rFonts w:hint="eastAsia" w:ascii="宋体" w:hAnsi="宋体"/>
                <w:color w:val="000000"/>
                <w:spacing w:val="-4"/>
                <w:sz w:val="24"/>
                <w:szCs w:val="24"/>
              </w:rPr>
              <w:t>并逐步</w:t>
            </w:r>
            <w:r>
              <w:rPr>
                <w:rFonts w:ascii="宋体" w:hAnsi="宋体"/>
                <w:color w:val="000000"/>
                <w:spacing w:val="-4"/>
                <w:sz w:val="24"/>
                <w:szCs w:val="24"/>
              </w:rPr>
              <w:t>提高。</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市发展和改革委员会</w:t>
            </w:r>
            <w:r>
              <w:rPr>
                <w:rFonts w:hint="eastAsia" w:ascii="宋体" w:hAnsi="宋体"/>
                <w:color w:val="000000"/>
                <w:sz w:val="24"/>
                <w:szCs w:val="24"/>
              </w:rPr>
              <w:t>、</w:t>
            </w:r>
            <w:r>
              <w:rPr>
                <w:rFonts w:ascii="宋体" w:hAnsi="宋体"/>
                <w:color w:val="000000"/>
                <w:sz w:val="24"/>
                <w:szCs w:val="24"/>
              </w:rPr>
              <w:t>教育局、财政局、残联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加强落实</w:t>
            </w:r>
          </w:p>
        </w:tc>
      </w:tr>
      <w:tr>
        <w:tblPrEx>
          <w:tblLayout w:type="fixed"/>
          <w:tblCellMar>
            <w:top w:w="0" w:type="dxa"/>
            <w:left w:w="15" w:type="dxa"/>
            <w:bottom w:w="0" w:type="dxa"/>
            <w:right w:w="15" w:type="dxa"/>
          </w:tblCellMar>
        </w:tblPrEx>
        <w:trPr>
          <w:trHeight w:val="1515"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15</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推动发展以职业教育为重点的残疾人高中阶段教育，从2015年秋季学期起实施残疾学生免费中等职业教育，积极推进高中阶段免费教育。</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市教育局</w:t>
            </w:r>
            <w:r>
              <w:rPr>
                <w:rFonts w:hint="eastAsia" w:ascii="宋体" w:hAnsi="宋体"/>
                <w:color w:val="000000"/>
                <w:sz w:val="24"/>
                <w:szCs w:val="24"/>
              </w:rPr>
              <w:t>、</w:t>
            </w:r>
            <w:r>
              <w:rPr>
                <w:rFonts w:ascii="宋体" w:hAnsi="宋体"/>
                <w:color w:val="000000"/>
                <w:sz w:val="24"/>
                <w:szCs w:val="24"/>
              </w:rPr>
              <w:t>财政局、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加强落实</w:t>
            </w:r>
          </w:p>
        </w:tc>
      </w:tr>
      <w:tr>
        <w:tblPrEx>
          <w:tblLayout w:type="fixed"/>
          <w:tblCellMar>
            <w:top w:w="0" w:type="dxa"/>
            <w:left w:w="15" w:type="dxa"/>
            <w:bottom w:w="0" w:type="dxa"/>
            <w:right w:w="15" w:type="dxa"/>
          </w:tblCellMar>
        </w:tblPrEx>
        <w:trPr>
          <w:trHeight w:val="1587"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16</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加强残疾人康复、托养等服务设施建设。</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市发展和改革委员会</w:t>
            </w:r>
            <w:r>
              <w:rPr>
                <w:rFonts w:hint="eastAsia" w:ascii="宋体" w:hAnsi="宋体"/>
                <w:color w:val="000000"/>
                <w:sz w:val="24"/>
                <w:szCs w:val="24"/>
              </w:rPr>
              <w:t>、</w:t>
            </w:r>
            <w:r>
              <w:rPr>
                <w:rFonts w:ascii="宋体" w:hAnsi="宋体"/>
                <w:color w:val="000000"/>
                <w:sz w:val="24"/>
                <w:szCs w:val="24"/>
              </w:rPr>
              <w:t>民政局、财政局、卫生和计划生育委员会、</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92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17</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残疾人持残疾人证免费乘坐城市市区公共交通工具，乘坐其他公共交通工具，应给予优先购票和乘坐；其随身必备的辅助器具及导盲犬等工作犬，准予免费携带。</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市交通运输局</w:t>
            </w:r>
            <w:r>
              <w:rPr>
                <w:rFonts w:hint="eastAsia" w:ascii="宋体" w:hAnsi="宋体"/>
                <w:color w:val="000000"/>
                <w:sz w:val="24"/>
                <w:szCs w:val="24"/>
              </w:rPr>
              <w:t>、</w:t>
            </w: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284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18</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有条件的公共图书馆设立盲文和盲文有声读物阅览室，培养特殊艺术人才和残疾人文化艺术品牌；推动各集聚</w:t>
            </w:r>
            <w:r>
              <w:rPr>
                <w:rFonts w:hint="eastAsia" w:ascii="宋体" w:hAnsi="宋体"/>
                <w:color w:val="000000"/>
                <w:sz w:val="24"/>
                <w:szCs w:val="24"/>
              </w:rPr>
              <w:t>（开发）</w:t>
            </w:r>
            <w:r>
              <w:rPr>
                <w:rFonts w:ascii="宋体" w:hAnsi="宋体"/>
                <w:color w:val="000000"/>
                <w:sz w:val="24"/>
                <w:szCs w:val="24"/>
              </w:rPr>
              <w:t>区、镇（街道）建成一批残疾人体育健身示范点，通过社会体育指导员普及一批适合残疾人的体育健身项目。</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市发展和改革委员会</w:t>
            </w:r>
            <w:r>
              <w:rPr>
                <w:rFonts w:hint="eastAsia" w:ascii="宋体" w:hAnsi="宋体"/>
                <w:color w:val="000000"/>
                <w:sz w:val="24"/>
                <w:szCs w:val="24"/>
              </w:rPr>
              <w:t>、</w:t>
            </w:r>
            <w:r>
              <w:rPr>
                <w:rFonts w:ascii="宋体" w:hAnsi="宋体"/>
                <w:color w:val="000000"/>
                <w:sz w:val="24"/>
                <w:szCs w:val="24"/>
              </w:rPr>
              <w:t>财政局、文化广电新闻出版局、体育局、住房和城乡建设局、国土资源局、城乡规划局、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3695"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19</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按照无障碍设施工程建设相关标准和规范要求，对新建、改建设施的规划、设计、施工、验收严格监管，加快推进政府机关、学校、社区、社会福利、公共交通等公共场所和设施的无障碍改造，市中心城区要配备方便残疾人出行的无障碍公共交通工具；完善信息无障碍标准体系，逐步推进政务信息以无障碍方式发布、音响制品加配字幕。</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市住房和城乡建设局</w:t>
            </w:r>
            <w:r>
              <w:rPr>
                <w:rFonts w:hint="eastAsia" w:ascii="宋体" w:hAnsi="宋体"/>
                <w:color w:val="000000"/>
                <w:sz w:val="24"/>
                <w:szCs w:val="24"/>
              </w:rPr>
              <w:t>、</w:t>
            </w:r>
            <w:r>
              <w:rPr>
                <w:rFonts w:ascii="宋体" w:hAnsi="宋体"/>
                <w:color w:val="000000"/>
                <w:sz w:val="24"/>
                <w:szCs w:val="24"/>
              </w:rPr>
              <w:t>发展和改革委员会、民政局、财政局、交通运输局、教育局、卫生和计划生育委员会、工业和信息化</w:t>
            </w:r>
            <w:r>
              <w:rPr>
                <w:rFonts w:hint="eastAsia" w:ascii="宋体" w:hAnsi="宋体"/>
                <w:color w:val="000000"/>
                <w:sz w:val="24"/>
                <w:szCs w:val="24"/>
              </w:rPr>
              <w:t>委员会</w:t>
            </w:r>
            <w:r>
              <w:rPr>
                <w:rFonts w:ascii="宋体" w:hAnsi="宋体"/>
                <w:color w:val="000000"/>
                <w:sz w:val="24"/>
                <w:szCs w:val="24"/>
              </w:rPr>
              <w:t>、质量技术监督局、</w:t>
            </w:r>
            <w:r>
              <w:rPr>
                <w:rFonts w:hint="eastAsia" w:ascii="宋体" w:hAnsi="宋体"/>
                <w:color w:val="000000"/>
                <w:sz w:val="24"/>
                <w:szCs w:val="24"/>
              </w:rPr>
              <w:t>城乡规划局、</w:t>
            </w: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01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20</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鼓励食品药品添加无障碍识别标识。</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市食品药品监督管理局</w:t>
            </w:r>
            <w:r>
              <w:rPr>
                <w:rFonts w:hint="eastAsia" w:ascii="宋体" w:hAnsi="宋体"/>
                <w:color w:val="000000"/>
                <w:sz w:val="24"/>
                <w:szCs w:val="24"/>
              </w:rPr>
              <w:t>、</w:t>
            </w: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00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21</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hint="eastAsia" w:ascii="宋体" w:hAnsi="宋体"/>
                <w:color w:val="000000"/>
                <w:sz w:val="24"/>
                <w:szCs w:val="24"/>
              </w:rPr>
              <w:t>电视台要开办手语栏目，</w:t>
            </w:r>
            <w:r>
              <w:rPr>
                <w:rFonts w:ascii="宋体" w:hAnsi="宋体"/>
                <w:color w:val="000000"/>
                <w:sz w:val="24"/>
                <w:szCs w:val="24"/>
              </w:rPr>
              <w:t>主要新闻栏目加配手语解说和字幕。</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市文化广电新闻出版局</w:t>
            </w:r>
            <w:r>
              <w:rPr>
                <w:rFonts w:hint="eastAsia" w:ascii="宋体" w:hAnsi="宋体"/>
                <w:color w:val="000000"/>
                <w:sz w:val="24"/>
                <w:szCs w:val="24"/>
              </w:rPr>
              <w:t>、</w:t>
            </w:r>
            <w:r>
              <w:rPr>
                <w:rFonts w:ascii="宋体" w:hAnsi="宋体"/>
                <w:color w:val="000000"/>
                <w:sz w:val="24"/>
                <w:szCs w:val="24"/>
              </w:rPr>
              <w:t>电视台、残联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503"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22</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 xml:space="preserve">加快发展残疾人服务产业，将残疾人公共服务机构开展服务所需经费纳入公共财政的保障范围，放宽残疾人服务业市场准入，大力发展残疾人服务中小企业。 </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发展和改革委员会、民政局、财政局、科技局、工业和信息化</w:t>
            </w:r>
            <w:r>
              <w:rPr>
                <w:rFonts w:hint="eastAsia" w:ascii="宋体" w:hAnsi="宋体"/>
                <w:color w:val="000000"/>
                <w:sz w:val="24"/>
                <w:szCs w:val="24"/>
              </w:rPr>
              <w:t>委员会</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201</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1448"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23</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对残疾人服务企业在用地、金融、价格等方面给予优惠，在人才、技术、管理等方面给予扶持。</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r>
              <w:rPr>
                <w:rFonts w:hint="eastAsia" w:ascii="宋体" w:hAnsi="宋体"/>
                <w:color w:val="000000"/>
                <w:sz w:val="24"/>
                <w:szCs w:val="24"/>
              </w:rPr>
              <w:t>、</w:t>
            </w:r>
            <w:r>
              <w:rPr>
                <w:rFonts w:ascii="宋体" w:hAnsi="宋体"/>
                <w:color w:val="000000"/>
                <w:sz w:val="24"/>
                <w:szCs w:val="24"/>
              </w:rPr>
              <w:t>发展和改革委员会、国土资源局、民政局、中国人民银行济源市</w:t>
            </w:r>
            <w:r>
              <w:rPr>
                <w:rFonts w:hint="eastAsia" w:ascii="宋体" w:hAnsi="宋体"/>
                <w:color w:val="000000"/>
                <w:sz w:val="24"/>
                <w:szCs w:val="24"/>
              </w:rPr>
              <w:t>中心</w:t>
            </w:r>
            <w:r>
              <w:rPr>
                <w:rFonts w:ascii="宋体" w:hAnsi="宋体"/>
                <w:color w:val="000000"/>
                <w:sz w:val="24"/>
                <w:szCs w:val="24"/>
              </w:rPr>
              <w:t>支行</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1305"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24</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支持研发具有自主知识产权的为残疾人服务的技术和产品。</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市科技局</w:t>
            </w:r>
            <w:r>
              <w:rPr>
                <w:rFonts w:hint="eastAsia" w:ascii="宋体" w:hAnsi="宋体"/>
                <w:color w:val="000000"/>
                <w:sz w:val="24"/>
                <w:szCs w:val="24"/>
              </w:rPr>
              <w:t>、</w:t>
            </w:r>
            <w:r>
              <w:rPr>
                <w:rFonts w:ascii="宋体" w:hAnsi="宋体"/>
                <w:color w:val="000000"/>
                <w:sz w:val="24"/>
                <w:szCs w:val="24"/>
              </w:rPr>
              <w:t>工业和信息化</w:t>
            </w:r>
            <w:r>
              <w:rPr>
                <w:rFonts w:hint="eastAsia" w:ascii="宋体" w:hAnsi="宋体"/>
                <w:color w:val="000000"/>
                <w:sz w:val="24"/>
                <w:szCs w:val="24"/>
              </w:rPr>
              <w:t>委员会</w:t>
            </w:r>
            <w:r>
              <w:rPr>
                <w:rFonts w:ascii="宋体" w:hAnsi="宋体"/>
                <w:color w:val="000000"/>
                <w:sz w:val="24"/>
                <w:szCs w:val="24"/>
              </w:rPr>
              <w:t>、教育局、民政局、财政局、残联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223"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25</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以残疾人康复、托养、护理、培训、就业等服务为重点，逐步建立完善政府购买服务指导性目录，加大政府购买服务力度。</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市民政局</w:t>
            </w:r>
            <w:r>
              <w:rPr>
                <w:rFonts w:hint="eastAsia" w:ascii="宋体" w:hAnsi="宋体"/>
                <w:color w:val="000000"/>
                <w:sz w:val="24"/>
                <w:szCs w:val="24"/>
              </w:rPr>
              <w:t>、</w:t>
            </w:r>
            <w:r>
              <w:rPr>
                <w:rFonts w:ascii="宋体" w:hAnsi="宋体"/>
                <w:color w:val="000000"/>
                <w:sz w:val="24"/>
                <w:szCs w:val="24"/>
              </w:rPr>
              <w:t>财政局、</w:t>
            </w:r>
          </w:p>
          <w:p>
            <w:pPr>
              <w:autoSpaceDN w:val="0"/>
              <w:jc w:val="left"/>
              <w:textAlignment w:val="center"/>
              <w:rPr>
                <w:rFonts w:ascii="宋体" w:hAnsi="宋体"/>
                <w:color w:val="000000"/>
                <w:sz w:val="24"/>
                <w:szCs w:val="24"/>
              </w:rPr>
            </w:pP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1919"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26</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要加大彩票公益金支持残疾人事业的力度，确保用于残疾人康复、救助、无障碍改造和文化等福利项目。</w:t>
            </w:r>
            <w:r>
              <w:rPr>
                <w:rFonts w:hint="eastAsia" w:ascii="宋体" w:hAnsi="宋体"/>
                <w:color w:val="000000"/>
                <w:sz w:val="24"/>
                <w:szCs w:val="24"/>
              </w:rPr>
              <w:t>市</w:t>
            </w:r>
            <w:r>
              <w:rPr>
                <w:rFonts w:ascii="宋体" w:hAnsi="宋体"/>
                <w:color w:val="000000"/>
                <w:sz w:val="24"/>
                <w:szCs w:val="24"/>
              </w:rPr>
              <w:t>体育</w:t>
            </w:r>
            <w:r>
              <w:rPr>
                <w:rFonts w:hint="eastAsia" w:ascii="宋体" w:hAnsi="宋体"/>
                <w:color w:val="000000"/>
                <w:sz w:val="24"/>
                <w:szCs w:val="24"/>
              </w:rPr>
              <w:t>局</w:t>
            </w:r>
            <w:r>
              <w:rPr>
                <w:rFonts w:ascii="宋体" w:hAnsi="宋体"/>
                <w:color w:val="000000"/>
                <w:sz w:val="24"/>
                <w:szCs w:val="24"/>
              </w:rPr>
              <w:t>每年在体育彩票公益金中安排一定比例用于支持残疾人体育事业。</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ascii="宋体" w:hAnsi="宋体"/>
                <w:color w:val="000000"/>
                <w:sz w:val="24"/>
                <w:szCs w:val="24"/>
              </w:rPr>
              <w:t>市民政局</w:t>
            </w:r>
            <w:r>
              <w:rPr>
                <w:rFonts w:hint="eastAsia" w:ascii="宋体" w:hAnsi="宋体"/>
                <w:color w:val="000000"/>
                <w:sz w:val="24"/>
                <w:szCs w:val="24"/>
              </w:rPr>
              <w:t>、</w:t>
            </w:r>
            <w:r>
              <w:rPr>
                <w:rFonts w:ascii="宋体" w:hAnsi="宋体"/>
                <w:color w:val="000000"/>
                <w:sz w:val="24"/>
                <w:szCs w:val="24"/>
              </w:rPr>
              <w:t>体育局、</w:t>
            </w:r>
          </w:p>
          <w:p>
            <w:pPr>
              <w:autoSpaceDN w:val="0"/>
              <w:jc w:val="left"/>
              <w:textAlignment w:val="center"/>
              <w:rPr>
                <w:rFonts w:ascii="宋体" w:hAnsi="宋体"/>
                <w:color w:val="000000"/>
                <w:sz w:val="24"/>
                <w:szCs w:val="24"/>
              </w:rPr>
            </w:pPr>
            <w:r>
              <w:rPr>
                <w:rFonts w:ascii="宋体" w:hAnsi="宋体"/>
                <w:color w:val="000000"/>
                <w:sz w:val="24"/>
                <w:szCs w:val="24"/>
              </w:rPr>
              <w:t>财政局</w:t>
            </w:r>
            <w:r>
              <w:rPr>
                <w:rFonts w:hint="eastAsia" w:ascii="宋体" w:hAnsi="宋体"/>
                <w:color w:val="000000"/>
                <w:sz w:val="24"/>
                <w:szCs w:val="24"/>
              </w:rPr>
              <w:t>、</w:t>
            </w:r>
            <w:r>
              <w:rPr>
                <w:rFonts w:ascii="宋体" w:hAnsi="宋体"/>
                <w:color w:val="000000"/>
                <w:sz w:val="24"/>
                <w:szCs w:val="24"/>
              </w:rPr>
              <w:t>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2595"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27</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将镇、村两级残疾人专职委员纳入公益性岗位范畴，村、社区残疾人专职委员应与村、社区居委会工作者同等待遇。根据当地实际，按照费随事转的原则，妥善解决好残疾人专职委员的待遇问题，将镇、村两级专职委员的工作补贴或误工补贴经费、教育培训经费按规定纳入当地财政预算。</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市人力资源和社会保障局</w:t>
            </w:r>
            <w:r>
              <w:rPr>
                <w:rFonts w:hint="eastAsia" w:ascii="宋体" w:hAnsi="宋体"/>
                <w:color w:val="000000"/>
                <w:sz w:val="24"/>
                <w:szCs w:val="24"/>
              </w:rPr>
              <w:t>、</w:t>
            </w:r>
            <w:r>
              <w:rPr>
                <w:rFonts w:ascii="宋体" w:hAnsi="宋体"/>
                <w:color w:val="000000"/>
                <w:sz w:val="24"/>
                <w:szCs w:val="24"/>
              </w:rPr>
              <w:t>财政局、民政局、残联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加强落实</w:t>
            </w:r>
          </w:p>
        </w:tc>
      </w:tr>
      <w:tr>
        <w:tblPrEx>
          <w:tblLayout w:type="fixed"/>
          <w:tblCellMar>
            <w:top w:w="0" w:type="dxa"/>
            <w:left w:w="15" w:type="dxa"/>
            <w:bottom w:w="0" w:type="dxa"/>
            <w:right w:w="15" w:type="dxa"/>
          </w:tblCellMar>
        </w:tblPrEx>
        <w:trPr>
          <w:trHeight w:val="90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color w:val="000000"/>
                <w:sz w:val="24"/>
                <w:szCs w:val="24"/>
              </w:rPr>
            </w:pPr>
            <w:r>
              <w:rPr>
                <w:rFonts w:ascii="宋体" w:hAnsi="宋体"/>
                <w:color w:val="000000"/>
                <w:sz w:val="24"/>
                <w:szCs w:val="24"/>
              </w:rPr>
              <w:t>28</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充分利用12385残疾人维权服务热线，切实维护残疾人合法利益。</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1294"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29</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大力弘扬人道主义思想和残疾人“平等、参与、共享”的现代文明理念，在全社会营造尊重、理解、关心、帮助残疾人的良好氛围。</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市委宣传部</w:t>
            </w:r>
            <w:r>
              <w:rPr>
                <w:rFonts w:hint="eastAsia" w:ascii="宋体" w:hAnsi="宋体"/>
                <w:color w:val="000000"/>
                <w:sz w:val="24"/>
                <w:szCs w:val="24"/>
              </w:rPr>
              <w:t>、</w:t>
            </w:r>
            <w:r>
              <w:rPr>
                <w:rFonts w:ascii="宋体" w:hAnsi="宋体"/>
                <w:color w:val="000000"/>
                <w:sz w:val="24"/>
                <w:szCs w:val="24"/>
              </w:rPr>
              <w:t>文化广电新闻出版局、电视台、残联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r>
        <w:tblPrEx>
          <w:tblLayout w:type="fixed"/>
          <w:tblCellMar>
            <w:top w:w="0" w:type="dxa"/>
            <w:left w:w="15" w:type="dxa"/>
            <w:bottom w:w="0" w:type="dxa"/>
            <w:right w:w="15" w:type="dxa"/>
          </w:tblCellMar>
        </w:tblPrEx>
        <w:trPr>
          <w:trHeight w:val="986"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hint="eastAsia" w:ascii="宋体" w:hAnsi="宋体"/>
                <w:color w:val="000000"/>
                <w:sz w:val="24"/>
                <w:szCs w:val="24"/>
              </w:rPr>
              <w:t>30</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u w:val="single"/>
              </w:rPr>
            </w:pPr>
            <w:r>
              <w:rPr>
                <w:rFonts w:hint="eastAsia" w:ascii="宋体" w:hAnsi="宋体"/>
                <w:color w:val="000000"/>
                <w:sz w:val="24"/>
                <w:szCs w:val="24"/>
              </w:rPr>
              <w:t>建立</w:t>
            </w:r>
            <w:r>
              <w:rPr>
                <w:rFonts w:ascii="宋体" w:hAnsi="宋体"/>
                <w:color w:val="000000"/>
                <w:sz w:val="24"/>
                <w:szCs w:val="24"/>
              </w:rPr>
              <w:t>贫困家庭</w:t>
            </w:r>
            <w:r>
              <w:rPr>
                <w:rFonts w:hint="eastAsia" w:ascii="宋体" w:hAnsi="宋体"/>
                <w:color w:val="000000"/>
                <w:sz w:val="24"/>
                <w:szCs w:val="24"/>
              </w:rPr>
              <w:t>在校</w:t>
            </w:r>
            <w:r>
              <w:rPr>
                <w:rFonts w:ascii="宋体" w:hAnsi="宋体"/>
                <w:color w:val="000000"/>
                <w:sz w:val="24"/>
                <w:szCs w:val="24"/>
              </w:rPr>
              <w:t>残疾学生和</w:t>
            </w:r>
            <w:r>
              <w:rPr>
                <w:rFonts w:hint="eastAsia" w:ascii="宋体" w:hAnsi="宋体"/>
                <w:color w:val="000000"/>
                <w:sz w:val="24"/>
                <w:szCs w:val="24"/>
              </w:rPr>
              <w:t>贫困</w:t>
            </w:r>
            <w:r>
              <w:rPr>
                <w:rFonts w:ascii="宋体" w:hAnsi="宋体"/>
                <w:color w:val="000000"/>
                <w:sz w:val="24"/>
                <w:szCs w:val="24"/>
              </w:rPr>
              <w:t>重度残疾人子女就学补助制度。</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hint="eastAsia" w:ascii="宋体" w:hAnsi="宋体"/>
                <w:color w:val="000000"/>
                <w:sz w:val="24"/>
                <w:szCs w:val="24"/>
              </w:rPr>
              <w:t>市民政局、财政局、</w:t>
            </w:r>
          </w:p>
          <w:p>
            <w:pPr>
              <w:autoSpaceDN w:val="0"/>
              <w:jc w:val="left"/>
              <w:textAlignment w:val="center"/>
              <w:rPr>
                <w:rFonts w:ascii="宋体" w:hAnsi="宋体"/>
                <w:color w:val="000000"/>
                <w:sz w:val="24"/>
                <w:szCs w:val="24"/>
                <w:u w:val="single"/>
              </w:rPr>
            </w:pPr>
            <w:r>
              <w:rPr>
                <w:rFonts w:hint="eastAsia" w:ascii="宋体" w:hAnsi="宋体"/>
                <w:color w:val="000000"/>
                <w:sz w:val="24"/>
                <w:szCs w:val="24"/>
              </w:rPr>
              <w:t>教育局、残联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szCs w:val="24"/>
              </w:rPr>
            </w:pP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年</w:t>
            </w:r>
            <w:r>
              <w:rPr>
                <w:rFonts w:hint="eastAsia" w:ascii="宋体" w:hAnsi="宋体"/>
                <w:color w:val="000000"/>
                <w:sz w:val="24"/>
                <w:szCs w:val="24"/>
              </w:rPr>
              <w:t>年</w:t>
            </w:r>
            <w:r>
              <w:rPr>
                <w:rFonts w:ascii="宋体" w:hAnsi="宋体"/>
                <w:color w:val="000000"/>
                <w:sz w:val="24"/>
                <w:szCs w:val="24"/>
              </w:rPr>
              <w:t>底前出台具体政策措施</w:t>
            </w:r>
          </w:p>
        </w:tc>
      </w:tr>
      <w:tr>
        <w:tblPrEx>
          <w:tblLayout w:type="fixed"/>
          <w:tblCellMar>
            <w:top w:w="0" w:type="dxa"/>
            <w:left w:w="15" w:type="dxa"/>
            <w:bottom w:w="0" w:type="dxa"/>
            <w:right w:w="15" w:type="dxa"/>
          </w:tblCellMar>
        </w:tblPrEx>
        <w:trPr>
          <w:trHeight w:val="986"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color w:val="000000"/>
                <w:sz w:val="24"/>
                <w:szCs w:val="24"/>
              </w:rPr>
            </w:pPr>
            <w:r>
              <w:rPr>
                <w:rFonts w:hint="eastAsia" w:ascii="宋体" w:hAnsi="宋体"/>
                <w:color w:val="000000"/>
                <w:sz w:val="24"/>
                <w:szCs w:val="24"/>
              </w:rPr>
              <w:t>31</w:t>
            </w:r>
          </w:p>
        </w:tc>
        <w:tc>
          <w:tcPr>
            <w:tcW w:w="452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u w:val="dash"/>
              </w:rPr>
            </w:pPr>
            <w:r>
              <w:rPr>
                <w:rFonts w:hint="eastAsia" w:ascii="宋体" w:hAnsi="宋体"/>
                <w:color w:val="000000"/>
                <w:sz w:val="24"/>
                <w:szCs w:val="24"/>
              </w:rPr>
              <w:t>鼓励兴办福利企业、盲人按摩机构、工疗机构等集中安置残疾人的用人单位，依法给予税收优惠，出台社会保险补贴、岗位补贴、试用见习补贴政策。</w:t>
            </w:r>
          </w:p>
        </w:tc>
        <w:tc>
          <w:tcPr>
            <w:tcW w:w="23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color w:val="000000"/>
                <w:sz w:val="24"/>
                <w:szCs w:val="24"/>
              </w:rPr>
            </w:pPr>
            <w:r>
              <w:rPr>
                <w:rFonts w:hint="eastAsia" w:ascii="宋体" w:hAnsi="宋体"/>
                <w:color w:val="000000"/>
                <w:sz w:val="24"/>
                <w:szCs w:val="24"/>
              </w:rPr>
              <w:t>市民政局、财政局、</w:t>
            </w:r>
          </w:p>
          <w:p>
            <w:pPr>
              <w:autoSpaceDN w:val="0"/>
              <w:jc w:val="left"/>
              <w:textAlignment w:val="center"/>
              <w:rPr>
                <w:rFonts w:hint="eastAsia" w:ascii="宋体" w:hAnsi="宋体"/>
                <w:color w:val="000000"/>
                <w:sz w:val="24"/>
                <w:szCs w:val="24"/>
              </w:rPr>
            </w:pPr>
            <w:r>
              <w:rPr>
                <w:rFonts w:hint="eastAsia" w:ascii="宋体" w:hAnsi="宋体"/>
                <w:color w:val="000000"/>
                <w:sz w:val="24"/>
                <w:szCs w:val="24"/>
              </w:rPr>
              <w:t>国家税务局、地方税务局、残联</w:t>
            </w:r>
          </w:p>
        </w:tc>
        <w:tc>
          <w:tcPr>
            <w:tcW w:w="1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szCs w:val="24"/>
              </w:rPr>
            </w:pPr>
            <w:r>
              <w:rPr>
                <w:rFonts w:ascii="宋体" w:hAnsi="宋体"/>
                <w:color w:val="000000"/>
                <w:sz w:val="24"/>
                <w:szCs w:val="24"/>
              </w:rPr>
              <w:t>持续实施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82523"/>
    <w:rsid w:val="1CB825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2016-09-18T08:22:00Z</dcterms:created>
  <dc:creator>Administrator</dc:creator>
  <cp:lastModifiedBy>Administrator</cp:lastModifiedBy>
  <dcterms:modified xsi:type="dcterms:W3CDTF">2016-09-18T08:22:51Z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