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4"/>
        </w:tabs>
        <w:spacing w:line="600" w:lineRule="exact"/>
        <w:rPr>
          <w:rFonts w:hint="eastAsia" w:eastAsia="黑体" w:cs="黑体"/>
          <w:color w:val="000000"/>
        </w:rPr>
      </w:pPr>
      <w:r>
        <w:rPr>
          <w:rFonts w:hint="eastAsia" w:eastAsia="黑体" w:cs="黑体"/>
          <w:color w:val="000000"/>
        </w:rPr>
        <w:t>附  件</w:t>
      </w:r>
    </w:p>
    <w:p>
      <w:pPr>
        <w:tabs>
          <w:tab w:val="left" w:pos="4144"/>
        </w:tabs>
        <w:spacing w:before="120" w:beforeLines="50" w:line="60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</w:rPr>
        <w:t>济源市2018年接收安置城镇退役士兵</w:t>
      </w:r>
    </w:p>
    <w:p>
      <w:pPr>
        <w:tabs>
          <w:tab w:val="left" w:pos="4144"/>
        </w:tabs>
        <w:spacing w:after="120" w:afterLines="50" w:line="60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计划指标</w:t>
      </w:r>
    </w:p>
    <w:bookmarkEnd w:id="0"/>
    <w:p>
      <w:pPr>
        <w:tabs>
          <w:tab w:val="left" w:pos="4144"/>
        </w:tabs>
        <w:spacing w:line="600" w:lineRule="exact"/>
        <w:jc w:val="left"/>
        <w:rPr>
          <w:rFonts w:hint="eastAsia" w:eastAsia="黑体" w:cs="黑体"/>
          <w:color w:val="000000"/>
          <w:kern w:val="0"/>
        </w:rPr>
      </w:pPr>
      <w:r>
        <w:rPr>
          <w:rFonts w:hint="eastAsia" w:eastAsia="黑体" w:cs="黑体"/>
          <w:color w:val="000000"/>
          <w:kern w:val="0"/>
        </w:rPr>
        <w:t>事业单位(43个)</w:t>
      </w:r>
    </w:p>
    <w:tbl>
      <w:tblPr>
        <w:tblStyle w:val="3"/>
        <w:tblW w:w="878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6"/>
        <w:gridCol w:w="3434"/>
        <w:gridCol w:w="989"/>
        <w:gridCol w:w="2113"/>
        <w:gridCol w:w="151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  <w:t>计划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综合实践基地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旅游度假区发展中心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机关事务管理局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公务用车服务中心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救助站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儿童福利院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军干所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愚公林场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南山林场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体育局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体校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文广局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望春剧场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戏剧艺术发展中心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卫计委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五龙口卫生院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轵城卫生院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承留卫生院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下冶卫生院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玉泉卫生院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邵原卫生院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大峪卫生院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王屋卫生院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pacing w:val="0"/>
                <w:kern w:val="0"/>
                <w:sz w:val="24"/>
                <w:szCs w:val="24"/>
              </w:rPr>
              <w:t>镇事业单位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王屋事业单位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邵原事业单位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克井事业单位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大峪事业单位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下冶事业单位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11AD"/>
    <w:rsid w:val="6CE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2019-01-02T09:07:00Z</dcterms:created>
  <dc:creator>Administrator</dc:creator>
  <cp:lastModifiedBy>Administrator</cp:lastModifiedBy>
  <dcterms:modified xsi:type="dcterms:W3CDTF">2019-01-02T09:08:11Z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